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ECCAC" w14:textId="25CEC278" w:rsidR="000556C0" w:rsidRDefault="000556C0" w:rsidP="000556C0">
      <w:pPr>
        <w:pStyle w:val="CoverPage"/>
        <w:spacing w:line="240" w:lineRule="auto"/>
        <w:rPr>
          <w:color w:val="auto"/>
          <w:lang w:val="en-US"/>
        </w:rPr>
      </w:pPr>
      <w:r w:rsidRPr="000556C0">
        <w:rPr>
          <w:color w:val="auto"/>
          <w:lang w:val="en-US"/>
        </w:rPr>
        <w:t>Asia Pacific COVID-19 Water Security Risk Index</w:t>
      </w:r>
    </w:p>
    <w:p w14:paraId="0807434C" w14:textId="750A5789" w:rsidR="000556C0" w:rsidRPr="000556C0" w:rsidRDefault="000556C0" w:rsidP="000556C0">
      <w:pPr>
        <w:rPr>
          <w:color w:val="333333"/>
          <w:sz w:val="32"/>
          <w:szCs w:val="32"/>
        </w:rPr>
      </w:pPr>
      <w:r w:rsidRPr="000556C0">
        <w:rPr>
          <w:color w:val="333333"/>
          <w:sz w:val="32"/>
          <w:szCs w:val="32"/>
        </w:rPr>
        <w:t>Report version 2.</w:t>
      </w:r>
      <w:r w:rsidR="00B93D77">
        <w:rPr>
          <w:color w:val="333333"/>
          <w:sz w:val="32"/>
          <w:szCs w:val="32"/>
        </w:rPr>
        <w:t>2</w:t>
      </w:r>
    </w:p>
    <w:p w14:paraId="4CFF0926" w14:textId="3017F30B" w:rsidR="000556C0" w:rsidRDefault="000556C0" w:rsidP="003373D3">
      <w:pPr>
        <w:rPr>
          <w:color w:val="333333"/>
          <w:sz w:val="32"/>
          <w:szCs w:val="32"/>
        </w:rPr>
      </w:pPr>
      <w:r w:rsidRPr="000556C0">
        <w:rPr>
          <w:color w:val="333333"/>
          <w:sz w:val="32"/>
          <w:szCs w:val="32"/>
        </w:rPr>
        <w:t>Prepared for the Australian Water Partnership</w:t>
      </w:r>
    </w:p>
    <w:p w14:paraId="2F78DBBD" w14:textId="77777777" w:rsidR="000556C0" w:rsidRDefault="000556C0">
      <w:pPr>
        <w:spacing w:after="160"/>
        <w:ind w:left="2160"/>
        <w:rPr>
          <w:color w:val="333333"/>
          <w:sz w:val="32"/>
          <w:szCs w:val="32"/>
        </w:rPr>
      </w:pPr>
      <w:r>
        <w:rPr>
          <w:color w:val="333333"/>
          <w:sz w:val="32"/>
          <w:szCs w:val="32"/>
        </w:rPr>
        <w:br w:type="page"/>
      </w:r>
    </w:p>
    <w:p w14:paraId="534756D6" w14:textId="19AD7BF3" w:rsidR="003373D3" w:rsidRPr="000B5016" w:rsidRDefault="003373D3" w:rsidP="003373D3">
      <w:pPr>
        <w:rPr>
          <w:color w:val="333333"/>
          <w:sz w:val="32"/>
          <w:szCs w:val="32"/>
        </w:rPr>
      </w:pPr>
      <w:r w:rsidRPr="00D076AD">
        <w:rPr>
          <w:color w:val="333333"/>
          <w:sz w:val="36"/>
          <w:szCs w:val="34"/>
        </w:rPr>
        <w:lastRenderedPageBreak/>
        <w:t>Authors</w:t>
      </w:r>
    </w:p>
    <w:p w14:paraId="777C69DB" w14:textId="5B502009" w:rsidR="003373D3" w:rsidRPr="000556C0" w:rsidRDefault="003373D3" w:rsidP="003373D3">
      <w:pPr>
        <w:rPr>
          <w:sz w:val="22"/>
          <w:szCs w:val="22"/>
        </w:rPr>
      </w:pPr>
      <w:r w:rsidRPr="000556C0">
        <w:rPr>
          <w:sz w:val="22"/>
          <w:szCs w:val="22"/>
        </w:rPr>
        <w:t>This report has been authored by Lachlan Guthrie (International WaterCentre) and Anne Roiko (Griffith University). The team would like to acknowledge Susan Petterson (Water and Health), Mark Pascoe (International WaterCentre), Marian Neal (The Australian Water Partnership), and Nicholas Schofield (The Australian Water Partnership) for their contribution in reviewing the project.</w:t>
      </w:r>
    </w:p>
    <w:p w14:paraId="32935E5F" w14:textId="77777777" w:rsidR="003373D3" w:rsidRPr="000B5016" w:rsidRDefault="003373D3" w:rsidP="003373D3"/>
    <w:p w14:paraId="5A983D79" w14:textId="77777777" w:rsidR="003373D3" w:rsidRPr="00D076AD" w:rsidRDefault="003373D3" w:rsidP="003373D3">
      <w:pPr>
        <w:rPr>
          <w:color w:val="333333"/>
          <w:sz w:val="36"/>
          <w:szCs w:val="34"/>
        </w:rPr>
      </w:pPr>
      <w:r w:rsidRPr="00D076AD">
        <w:rPr>
          <w:color w:val="333333"/>
          <w:sz w:val="36"/>
          <w:szCs w:val="34"/>
        </w:rPr>
        <w:t>Acknowledgements</w:t>
      </w:r>
    </w:p>
    <w:p w14:paraId="6D1F02A2" w14:textId="596C53F3" w:rsidR="00001F8C" w:rsidRDefault="00001F8C" w:rsidP="003373D3">
      <w:r w:rsidRPr="00001F8C">
        <w:t xml:space="preserve">This resource was funded by the Australian Government through the Australian Water </w:t>
      </w:r>
      <w:r w:rsidR="00F74403" w:rsidRPr="00001F8C">
        <w:t>Partnership and</w:t>
      </w:r>
      <w:r w:rsidRPr="00001F8C">
        <w:t xml:space="preserve"> implemented by the International WaterCentre and the School of Medicine at Griffith University.</w:t>
      </w:r>
    </w:p>
    <w:p w14:paraId="34E61AE0" w14:textId="6DBAA679" w:rsidR="0005517D" w:rsidRDefault="009D24AD" w:rsidP="003373D3">
      <w:r w:rsidRPr="009D24AD">
        <w:t xml:space="preserve">The views expressed in this publication are the author's alone and are not necessarily the views of the Australian Government. The Australian Government neither endorses the views in this </w:t>
      </w:r>
      <w:r w:rsidR="002911C0">
        <w:t>index</w:t>
      </w:r>
      <w:r w:rsidRPr="009D24AD">
        <w:t xml:space="preserve">, nor vouches for the accuracy or completeness of the information contained within. The Australian Government, its officers, </w:t>
      </w:r>
      <w:proofErr w:type="gramStart"/>
      <w:r w:rsidRPr="009D24AD">
        <w:t>employees</w:t>
      </w:r>
      <w:proofErr w:type="gramEnd"/>
      <w:r w:rsidRPr="009D24AD">
        <w:t xml:space="preserve"> and agents, accept no liability for any loss, damage or expense arising out of, or in connection with, any reliance on any omissions or inaccuracies in the material contained in this </w:t>
      </w:r>
      <w:r w:rsidR="002911C0">
        <w:t>index</w:t>
      </w:r>
      <w:r w:rsidRPr="009D24AD">
        <w:t>.</w:t>
      </w:r>
    </w:p>
    <w:p w14:paraId="5897B748" w14:textId="016904B4" w:rsidR="009D24AD" w:rsidRDefault="0005517D" w:rsidP="003373D3">
      <w:r>
        <w:rPr>
          <w:noProof/>
        </w:rPr>
        <w:drawing>
          <wp:inline distT="0" distB="0" distL="0" distR="0" wp14:anchorId="3B825E0F" wp14:editId="321FC9F6">
            <wp:extent cx="3277711" cy="1162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8054" cy="1165717"/>
                    </a:xfrm>
                    <a:prstGeom prst="rect">
                      <a:avLst/>
                    </a:prstGeom>
                    <a:noFill/>
                    <a:ln>
                      <a:noFill/>
                    </a:ln>
                  </pic:spPr>
                </pic:pic>
              </a:graphicData>
            </a:graphic>
          </wp:inline>
        </w:drawing>
      </w:r>
    </w:p>
    <w:p w14:paraId="629268B5" w14:textId="562D7F3B" w:rsidR="003373D3" w:rsidRDefault="003373D3" w:rsidP="003373D3"/>
    <w:p w14:paraId="25C7D7EC" w14:textId="77777777" w:rsidR="003373D3" w:rsidRDefault="003373D3" w:rsidP="003373D3">
      <w:pPr>
        <w:ind w:left="2160"/>
      </w:pPr>
      <w:r>
        <w:br w:type="page"/>
      </w:r>
    </w:p>
    <w:p w14:paraId="37F2A9F1" w14:textId="43DEEACD" w:rsidR="00184800" w:rsidRDefault="00184800" w:rsidP="00FA7BDC">
      <w:pPr>
        <w:pStyle w:val="Heading1"/>
        <w:spacing w:after="0" w:line="240" w:lineRule="auto"/>
      </w:pPr>
      <w:r>
        <w:lastRenderedPageBreak/>
        <w:t>Summary</w:t>
      </w:r>
    </w:p>
    <w:p w14:paraId="00472048" w14:textId="65320455" w:rsidR="00F54A87" w:rsidRDefault="00F54A87" w:rsidP="00F54A87">
      <w:r>
        <w:t>The overarching objective of this project has been to create an index that will allow the read</w:t>
      </w:r>
      <w:r w:rsidR="0092612B">
        <w:t>er</w:t>
      </w:r>
      <w:r>
        <w:t xml:space="preserve"> to</w:t>
      </w:r>
      <w:r w:rsidRPr="00D45133">
        <w:t xml:space="preserve"> understand and </w:t>
      </w:r>
      <w:r w:rsidR="00744EA5">
        <w:t>prioritise</w:t>
      </w:r>
      <w:r w:rsidR="00744EA5" w:rsidRPr="00D45133">
        <w:t xml:space="preserve"> </w:t>
      </w:r>
      <w:r w:rsidRPr="00D45133">
        <w:t xml:space="preserve">what water investments could </w:t>
      </w:r>
      <w:r>
        <w:t>be made</w:t>
      </w:r>
      <w:r w:rsidRPr="00D45133">
        <w:t xml:space="preserve"> </w:t>
      </w:r>
      <w:r w:rsidR="00744EA5">
        <w:t>to</w:t>
      </w:r>
      <w:r w:rsidR="00D13990">
        <w:t xml:space="preserve"> </w:t>
      </w:r>
      <w:r w:rsidRPr="00D45133">
        <w:t xml:space="preserve">reduce a country's </w:t>
      </w:r>
      <w:r w:rsidR="0092612B">
        <w:t>risk from</w:t>
      </w:r>
      <w:r w:rsidRPr="00D45133">
        <w:t xml:space="preserve"> COVID-19 </w:t>
      </w:r>
      <w:r w:rsidR="00744EA5">
        <w:t xml:space="preserve">impacts </w:t>
      </w:r>
      <w:r w:rsidRPr="00D45133">
        <w:t>in the short, medium, and long term</w:t>
      </w:r>
      <w:r>
        <w:t>.</w:t>
      </w:r>
    </w:p>
    <w:p w14:paraId="2837BFBD" w14:textId="0062EAA0" w:rsidR="00744EA5" w:rsidRDefault="00F54A87" w:rsidP="00744EA5">
      <w:r>
        <w:t>To do this, the team has created a COVID-19 risk index</w:t>
      </w:r>
      <w:r w:rsidR="0092612B">
        <w:t>,</w:t>
      </w:r>
      <w:r>
        <w:t xml:space="preserve"> building upon </w:t>
      </w:r>
      <w:r w:rsidR="0092612B">
        <w:t>the</w:t>
      </w:r>
      <w:r>
        <w:t xml:space="preserve"> data collected for</w:t>
      </w:r>
      <w:r w:rsidR="0092612B">
        <w:t xml:space="preserve"> and the methods used in</w:t>
      </w:r>
      <w:r>
        <w:t xml:space="preserve"> </w:t>
      </w:r>
      <w:r w:rsidR="0092612B">
        <w:t>the Asian Water Development Outlook 2020</w:t>
      </w:r>
      <w:r>
        <w:t xml:space="preserve">. </w:t>
      </w:r>
      <w:r w:rsidR="00DD3CEE">
        <w:t xml:space="preserve">We are defining COVID-19 risk as the risk of community wide impact caused by an outbreak of COVID-19, including elements of health, economics, and water security. </w:t>
      </w:r>
      <w:r>
        <w:t>The index</w:t>
      </w:r>
      <w:r w:rsidR="005A70A6">
        <w:t xml:space="preserve"> deliberately </w:t>
      </w:r>
      <w:r w:rsidR="0092612B">
        <w:t>uses</w:t>
      </w:r>
      <w:r>
        <w:t xml:space="preserve"> a COVID-19 risk framework</w:t>
      </w:r>
      <w:r w:rsidR="00744EA5">
        <w:t xml:space="preserve"> that considers all key factors that have a bearing on a country’s overall risk from </w:t>
      </w:r>
      <w:r w:rsidR="00D13990">
        <w:t xml:space="preserve">COVID-19, </w:t>
      </w:r>
      <w:r w:rsidR="00C607E0">
        <w:t>distinguishing those that influence a country’s abilit</w:t>
      </w:r>
      <w:r w:rsidR="00073B82">
        <w:t>y</w:t>
      </w:r>
      <w:r w:rsidR="00C607E0">
        <w:t xml:space="preserve"> to: </w:t>
      </w:r>
      <w:r w:rsidR="00D13990">
        <w:t>1. Stay alert to pandemics in other countries; 2</w:t>
      </w:r>
      <w:r w:rsidR="00C607E0">
        <w:t xml:space="preserve">. Prevent/delay ‘entry’ of the virus across </w:t>
      </w:r>
      <w:r w:rsidR="00D13990">
        <w:t>its</w:t>
      </w:r>
      <w:r w:rsidR="00C607E0">
        <w:t xml:space="preserve"> borders;</w:t>
      </w:r>
      <w:r w:rsidR="00D13990">
        <w:t xml:space="preserve"> 3</w:t>
      </w:r>
      <w:r w:rsidR="00C607E0">
        <w:t xml:space="preserve">. Contain the community transmission of the virus once it has penetrated </w:t>
      </w:r>
      <w:r w:rsidR="005A70A6">
        <w:t>its</w:t>
      </w:r>
      <w:r w:rsidR="00C607E0">
        <w:t xml:space="preserve"> borders</w:t>
      </w:r>
      <w:r w:rsidR="00D13990">
        <w:t>; 4.</w:t>
      </w:r>
      <w:r w:rsidR="00C607E0">
        <w:t xml:space="preserve"> To treat those infected with the virus; </w:t>
      </w:r>
      <w:r w:rsidR="00D13990">
        <w:t xml:space="preserve">5. </w:t>
      </w:r>
      <w:r w:rsidR="00C607E0">
        <w:t xml:space="preserve">To </w:t>
      </w:r>
      <w:r w:rsidR="005A70A6">
        <w:t xml:space="preserve">mitigate subsequent substantial outbreaks of </w:t>
      </w:r>
      <w:r w:rsidR="00D13990">
        <w:t>COVID</w:t>
      </w:r>
      <w:r w:rsidR="005A70A6">
        <w:t>-19 via immunity</w:t>
      </w:r>
      <w:r w:rsidR="00D13990">
        <w:t>;</w:t>
      </w:r>
      <w:r w:rsidR="005A70A6">
        <w:t xml:space="preserve"> </w:t>
      </w:r>
      <w:r w:rsidR="004A4C46">
        <w:t xml:space="preserve">and </w:t>
      </w:r>
      <w:r w:rsidR="00D13990">
        <w:t>6</w:t>
      </w:r>
      <w:r w:rsidR="005A70A6">
        <w:t>. To recover from the impacts of a Covid-19 outbreak. It is within this broad contextual framework, that th</w:t>
      </w:r>
      <w:r w:rsidR="00744EA5">
        <w:t>ose factors</w:t>
      </w:r>
      <w:r w:rsidR="00744EA5" w:rsidRPr="00744EA5">
        <w:t xml:space="preserve"> </w:t>
      </w:r>
      <w:r w:rsidR="00744EA5">
        <w:t xml:space="preserve">related </w:t>
      </w:r>
      <w:r w:rsidR="005A70A6">
        <w:t xml:space="preserve">to water security in various ways </w:t>
      </w:r>
      <w:r w:rsidR="00744EA5">
        <w:t>are highlighted</w:t>
      </w:r>
      <w:r w:rsidR="005A70A6">
        <w:t xml:space="preserve">. </w:t>
      </w:r>
      <w:r w:rsidR="00CF02D5">
        <w:t xml:space="preserve">This approach allows the most </w:t>
      </w:r>
      <w:r w:rsidR="004A4C46">
        <w:t>effective</w:t>
      </w:r>
      <w:r w:rsidR="00CF02D5">
        <w:t xml:space="preserve"> water-related interventions to be identified</w:t>
      </w:r>
      <w:r w:rsidR="004A4C46">
        <w:t xml:space="preserve"> at any given “</w:t>
      </w:r>
      <w:r w:rsidR="00CF02D5">
        <w:t>phase’ of the epidemic within a country and recognises that prevention is more cost-effective than treatment</w:t>
      </w:r>
      <w:r w:rsidR="004A4C46">
        <w:t>.</w:t>
      </w:r>
    </w:p>
    <w:p w14:paraId="68E7DC60" w14:textId="67995942" w:rsidR="00F54A87" w:rsidRDefault="00073B82" w:rsidP="00F54A87">
      <w:r>
        <w:t xml:space="preserve">An analysis of the </w:t>
      </w:r>
      <w:r w:rsidR="008732A2">
        <w:t>factors contributing to a country’s overall COVID-19 risk index allows the relative importance of those factors related to water security to be identified.</w:t>
      </w:r>
      <w:r>
        <w:t xml:space="preserve"> </w:t>
      </w:r>
      <w:r w:rsidR="008732A2">
        <w:t>In this way,</w:t>
      </w:r>
      <w:r w:rsidR="00E42BA0">
        <w:t xml:space="preserve"> the index </w:t>
      </w:r>
      <w:proofErr w:type="gramStart"/>
      <w:r w:rsidR="008732A2">
        <w:t>is able to</w:t>
      </w:r>
      <w:proofErr w:type="gramEnd"/>
      <w:r w:rsidR="008732A2">
        <w:t xml:space="preserve"> highlight those</w:t>
      </w:r>
      <w:r w:rsidR="00E42BA0">
        <w:t xml:space="preserve"> water interventions that </w:t>
      </w:r>
      <w:r w:rsidR="008732A2">
        <w:t xml:space="preserve">are likely to </w:t>
      </w:r>
      <w:r w:rsidR="00E42BA0">
        <w:t xml:space="preserve">have </w:t>
      </w:r>
      <w:r w:rsidR="008732A2">
        <w:t xml:space="preserve">the </w:t>
      </w:r>
      <w:r w:rsidR="00E42BA0">
        <w:t xml:space="preserve">most impact on </w:t>
      </w:r>
      <w:r w:rsidR="008732A2">
        <w:t xml:space="preserve">reducing the overall impact of a </w:t>
      </w:r>
      <w:r w:rsidR="00506107">
        <w:t>COVID-19</w:t>
      </w:r>
      <w:r w:rsidR="008732A2">
        <w:t xml:space="preserve"> pandemic.</w:t>
      </w:r>
      <w:r w:rsidR="00506107">
        <w:t xml:space="preserve"> </w:t>
      </w:r>
      <w:r w:rsidR="008732A2">
        <w:t xml:space="preserve">Like any index, it’s value for prioritising investments is predicated on the availability and accuracy of metrics measuring the factors currently believed to be important for reflecting the impact of a pandemic such as COVID-19 at the country scale. Metrics were not available to </w:t>
      </w:r>
      <w:r w:rsidR="002276EA">
        <w:t xml:space="preserve">some </w:t>
      </w:r>
      <w:r w:rsidR="008732A2">
        <w:t xml:space="preserve">key factors known to be important, such as a country’s ability to measure levels of immunity within the community, so these could not be incorporated at this stage. The framework adopted allows these to be incorporated as reliable information becomes available. Assumptions have also been made about the appropriate relationships between component scores making up the index. Given these constraints, any </w:t>
      </w:r>
      <w:r w:rsidR="00E42BA0">
        <w:t xml:space="preserve">recommendations </w:t>
      </w:r>
      <w:r w:rsidR="008732A2">
        <w:t xml:space="preserve">arising out of the use of the index </w:t>
      </w:r>
      <w:r w:rsidR="00E42BA0">
        <w:t xml:space="preserve">should not be taken </w:t>
      </w:r>
      <w:r w:rsidR="00506107">
        <w:t xml:space="preserve">purely </w:t>
      </w:r>
      <w:r w:rsidR="00E42BA0">
        <w:t xml:space="preserve">on face value and further investigation </w:t>
      </w:r>
      <w:r w:rsidR="008732A2">
        <w:t xml:space="preserve">would be </w:t>
      </w:r>
      <w:r w:rsidR="00E42BA0">
        <w:t>required in the planning phase of each intervention to verify the findings of th</w:t>
      </w:r>
      <w:r w:rsidR="00506107">
        <w:t>e</w:t>
      </w:r>
      <w:r w:rsidR="00E42BA0">
        <w:t xml:space="preserve"> index. </w:t>
      </w:r>
      <w:r w:rsidR="008732A2">
        <w:t>Geographic variability within countries is also an important consideration when it comes to investing in water security and local knowledge and expertise becomes critical</w:t>
      </w:r>
      <w:r w:rsidR="002276EA">
        <w:t>.</w:t>
      </w:r>
      <w:r w:rsidR="008732A2">
        <w:t xml:space="preserve"> </w:t>
      </w:r>
      <w:r w:rsidR="00E42BA0">
        <w:t xml:space="preserve">The key recommendations </w:t>
      </w:r>
      <w:r w:rsidR="00506107">
        <w:t xml:space="preserve">across the Asia Pacific </w:t>
      </w:r>
      <w:r w:rsidR="00F236CD">
        <w:t>include.</w:t>
      </w:r>
    </w:p>
    <w:p w14:paraId="00CA932E" w14:textId="1AD876FE" w:rsidR="00E42BA0" w:rsidRDefault="00E42BA0" w:rsidP="00E42BA0">
      <w:pPr>
        <w:pStyle w:val="ListParagraph"/>
        <w:numPr>
          <w:ilvl w:val="0"/>
          <w:numId w:val="28"/>
        </w:numPr>
      </w:pPr>
      <w:r>
        <w:t>Short term priority to improve WASH access</w:t>
      </w:r>
      <w:r w:rsidR="002276EA">
        <w:t xml:space="preserve">, </w:t>
      </w:r>
      <w:proofErr w:type="gramStart"/>
      <w:r w:rsidR="002276EA">
        <w:t xml:space="preserve">in particular </w:t>
      </w:r>
      <w:r>
        <w:t>handwashing</w:t>
      </w:r>
      <w:proofErr w:type="gramEnd"/>
      <w:r w:rsidR="002276EA">
        <w:t>,</w:t>
      </w:r>
      <w:r>
        <w:t xml:space="preserve"> in the homes of many Pacific countries</w:t>
      </w:r>
    </w:p>
    <w:p w14:paraId="33663542" w14:textId="4836C67C" w:rsidR="00E42BA0" w:rsidRDefault="00E42BA0" w:rsidP="00E42BA0">
      <w:pPr>
        <w:pStyle w:val="ListParagraph"/>
        <w:numPr>
          <w:ilvl w:val="0"/>
          <w:numId w:val="28"/>
        </w:numPr>
      </w:pPr>
      <w:r>
        <w:lastRenderedPageBreak/>
        <w:t xml:space="preserve">A </w:t>
      </w:r>
      <w:r w:rsidR="00F236CD">
        <w:t>medium-term</w:t>
      </w:r>
      <w:r>
        <w:t xml:space="preserve"> priority to work with water utilities in the Pacific, India, Pakistan, and Afghanistan</w:t>
      </w:r>
    </w:p>
    <w:p w14:paraId="271938F0" w14:textId="794FDD46" w:rsidR="00E42BA0" w:rsidRDefault="00E42BA0" w:rsidP="00E42BA0">
      <w:pPr>
        <w:pStyle w:val="ListParagraph"/>
        <w:numPr>
          <w:ilvl w:val="0"/>
          <w:numId w:val="28"/>
        </w:numPr>
      </w:pPr>
      <w:r>
        <w:t>A long-term priority focus on GESI WASH issues in Afghanistan and Pakistan</w:t>
      </w:r>
    </w:p>
    <w:p w14:paraId="07E8CC41" w14:textId="6FCA0920" w:rsidR="00E42BA0" w:rsidRDefault="00E42BA0" w:rsidP="00E42BA0">
      <w:pPr>
        <w:pStyle w:val="ListParagraph"/>
        <w:numPr>
          <w:ilvl w:val="0"/>
          <w:numId w:val="28"/>
        </w:numPr>
      </w:pPr>
      <w:r>
        <w:t xml:space="preserve">Long term focus of improving economic water security in several countries, </w:t>
      </w:r>
      <w:proofErr w:type="gramStart"/>
      <w:r>
        <w:t>in particular Afghanistan</w:t>
      </w:r>
      <w:proofErr w:type="gramEnd"/>
    </w:p>
    <w:p w14:paraId="44A7B414" w14:textId="3D030564" w:rsidR="0006253D" w:rsidRDefault="00CA58E1" w:rsidP="00FA7BDC">
      <w:pPr>
        <w:pStyle w:val="Heading1"/>
        <w:spacing w:after="0" w:line="240" w:lineRule="auto"/>
      </w:pPr>
      <w:r>
        <w:t>Introduction</w:t>
      </w:r>
    </w:p>
    <w:p w14:paraId="5C0C0C58" w14:textId="2BDB9EB0" w:rsidR="00B87163" w:rsidRPr="00B87163" w:rsidRDefault="00B87163" w:rsidP="004E1B12">
      <w:pPr>
        <w:pStyle w:val="Heading2"/>
        <w:spacing w:after="0"/>
      </w:pPr>
      <w:r>
        <w:t>AWDO</w:t>
      </w:r>
    </w:p>
    <w:p w14:paraId="225D2C95" w14:textId="77777777" w:rsidR="00CA58E1" w:rsidRPr="00F3744F" w:rsidRDefault="00CA58E1" w:rsidP="00CA58E1">
      <w:r w:rsidRPr="00F3744F">
        <w:t>The Asian Water Development Outlook (AWDO) was initiated by the Asian Development Bank (ADB) and the Asia-Pacific Water Forum (APWF) to highlight important water management issues in the Asia- Pacific region. Three editions have been published</w:t>
      </w:r>
      <w:r>
        <w:t xml:space="preserve"> so far,</w:t>
      </w:r>
      <w:r w:rsidRPr="00F3744F">
        <w:t xml:space="preserve"> 2007, 2013 and 2016. </w:t>
      </w:r>
    </w:p>
    <w:p w14:paraId="6B8417AF" w14:textId="3240FDB2" w:rsidR="00CA58E1" w:rsidRPr="00F3744F" w:rsidRDefault="00CA58E1" w:rsidP="00CA58E1">
      <w:r w:rsidRPr="00F3744F">
        <w:t xml:space="preserve">AWDO 2013 was guided by a vision that </w:t>
      </w:r>
      <w:r w:rsidRPr="00737B05">
        <w:rPr>
          <w:i/>
          <w:iCs/>
        </w:rPr>
        <w:t>"societies can enjoy water security when they successfully manage their water resources and services to 1) satisfy household water and sanitation needs in all communities; 2) support productive economies in agriculture and industry; 3) develop vibrant, liveable cities and towns; 4) restore healthy rivers and ecosystems; and, 5) build resilient communities that can adapt to change</w:t>
      </w:r>
      <w:r w:rsidRPr="00F3744F">
        <w:t>”.</w:t>
      </w:r>
      <w:r>
        <w:t xml:space="preserve"> AWDO involves five </w:t>
      </w:r>
      <w:r w:rsidR="00714472">
        <w:t>K</w:t>
      </w:r>
      <w:r>
        <w:t xml:space="preserve">ey </w:t>
      </w:r>
      <w:r w:rsidR="00714472">
        <w:t>D</w:t>
      </w:r>
      <w:r>
        <w:t>imensions (KDs) of water security (WS); Rural Household WS (KD1), Economic WS (KD2), Urban WS (KD3), Environmental WS (KD4) and Resilience to Water-related Disasters (KD5).</w:t>
      </w:r>
    </w:p>
    <w:p w14:paraId="458D8052" w14:textId="4468D79C" w:rsidR="00CA58E1" w:rsidRDefault="00CA58E1" w:rsidP="00CA58E1">
      <w:r w:rsidRPr="00F3744F">
        <w:t>In both AWDO 2013 and 2016</w:t>
      </w:r>
      <w:r>
        <w:t>,</w:t>
      </w:r>
      <w:r w:rsidRPr="00F3744F">
        <w:t xml:space="preserve"> the importance of continual improvement and innovation was stressed, while balancing the need to enable comparisons through time.</w:t>
      </w:r>
      <w:r>
        <w:t xml:space="preserve"> The next iteration, AWDO 2020, is in the final stages of development with the IWC leading Rural Household WS (KD1), Urban WS (KD3), and Environmental WS (KD4).</w:t>
      </w:r>
    </w:p>
    <w:p w14:paraId="62D7B841" w14:textId="24B0D036" w:rsidR="00714472" w:rsidRDefault="00714472" w:rsidP="00714472">
      <w:pPr>
        <w:keepNext/>
      </w:pPr>
      <w:r>
        <w:rPr>
          <w:noProof/>
        </w:rPr>
        <w:lastRenderedPageBreak/>
        <w:drawing>
          <wp:inline distT="0" distB="0" distL="0" distR="0" wp14:anchorId="1912C8EE" wp14:editId="78A7CC6E">
            <wp:extent cx="4184535" cy="3343275"/>
            <wp:effectExtent l="0" t="0" r="698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6737" b="7019"/>
                    <a:stretch/>
                  </pic:blipFill>
                  <pic:spPr bwMode="auto">
                    <a:xfrm>
                      <a:off x="0" y="0"/>
                      <a:ext cx="4197069" cy="3353289"/>
                    </a:xfrm>
                    <a:prstGeom prst="rect">
                      <a:avLst/>
                    </a:prstGeom>
                    <a:noFill/>
                    <a:ln>
                      <a:noFill/>
                    </a:ln>
                    <a:extLst>
                      <a:ext uri="{53640926-AAD7-44D8-BBD7-CCE9431645EC}">
                        <a14:shadowObscured xmlns:a14="http://schemas.microsoft.com/office/drawing/2010/main"/>
                      </a:ext>
                    </a:extLst>
                  </pic:spPr>
                </pic:pic>
              </a:graphicData>
            </a:graphic>
          </wp:inline>
        </w:drawing>
      </w:r>
    </w:p>
    <w:p w14:paraId="052464F3" w14:textId="2057A13B" w:rsidR="00714472" w:rsidRDefault="00714472" w:rsidP="00714472">
      <w:pPr>
        <w:pStyle w:val="Caption"/>
      </w:pPr>
      <w:r>
        <w:t xml:space="preserve">Figure </w:t>
      </w:r>
      <w:r w:rsidR="00047BE6">
        <w:fldChar w:fldCharType="begin"/>
      </w:r>
      <w:r w:rsidR="00047BE6">
        <w:instrText xml:space="preserve"> SEQ Figure \* ARABIC </w:instrText>
      </w:r>
      <w:r w:rsidR="00047BE6">
        <w:fldChar w:fldCharType="separate"/>
      </w:r>
      <w:r w:rsidR="00453014">
        <w:rPr>
          <w:noProof/>
        </w:rPr>
        <w:t>1</w:t>
      </w:r>
      <w:r w:rsidR="00047BE6">
        <w:rPr>
          <w:noProof/>
        </w:rPr>
        <w:fldChar w:fldCharType="end"/>
      </w:r>
      <w:r>
        <w:t>. Key Dimensions of AWDO</w:t>
      </w:r>
    </w:p>
    <w:p w14:paraId="0A2440EE" w14:textId="19D1327F" w:rsidR="00B87163" w:rsidRDefault="00B87163" w:rsidP="004E1B12">
      <w:pPr>
        <w:pStyle w:val="Heading2"/>
        <w:spacing w:after="0"/>
      </w:pPr>
      <w:r>
        <w:t>COVID-19</w:t>
      </w:r>
    </w:p>
    <w:p w14:paraId="39272A84" w14:textId="4921F09A" w:rsidR="00CA58E1" w:rsidRDefault="00CA58E1" w:rsidP="00CA58E1">
      <w:r>
        <w:t xml:space="preserve">COVID-19 is </w:t>
      </w:r>
      <w:r w:rsidR="009C3FEA">
        <w:t>primarily</w:t>
      </w:r>
      <w:r w:rsidR="00286191">
        <w:t xml:space="preserve"> a</w:t>
      </w:r>
      <w:r w:rsidR="009C3FEA">
        <w:t xml:space="preserve"> respiratory illness caused by the</w:t>
      </w:r>
      <w:r w:rsidR="00A35739">
        <w:t xml:space="preserve"> novel and highly</w:t>
      </w:r>
      <w:r w:rsidR="00286191">
        <w:t xml:space="preserve"> </w:t>
      </w:r>
      <w:r>
        <w:t>contagious</w:t>
      </w:r>
      <w:r w:rsidR="00286191">
        <w:t xml:space="preserve"> coronavirus SARS-CoV-2</w:t>
      </w:r>
      <w:r w:rsidR="002E68B6">
        <w:t xml:space="preserve">, currently </w:t>
      </w:r>
      <w:r w:rsidR="00637829">
        <w:t>the centre of</w:t>
      </w:r>
      <w:r>
        <w:t xml:space="preserve"> a global pandemic, with </w:t>
      </w:r>
      <w:r w:rsidR="00CF4808">
        <w:t xml:space="preserve">more than 7.4 Million </w:t>
      </w:r>
      <w:r>
        <w:t xml:space="preserve">cases reported in 188 countries (as of </w:t>
      </w:r>
      <w:r w:rsidR="00506107">
        <w:t>1</w:t>
      </w:r>
      <w:r w:rsidR="00CF4808">
        <w:t>3</w:t>
      </w:r>
      <w:r>
        <w:t>/0</w:t>
      </w:r>
      <w:r w:rsidR="00506107">
        <w:t>6</w:t>
      </w:r>
      <w:r>
        <w:t xml:space="preserve">/2020). </w:t>
      </w:r>
      <w:r w:rsidR="00A35739">
        <w:t xml:space="preserve">The following </w:t>
      </w:r>
      <w:r w:rsidR="00CF4808">
        <w:t>combination of features make SARS-CoV-2</w:t>
      </w:r>
      <w:r w:rsidR="0091539C">
        <w:t xml:space="preserve"> </w:t>
      </w:r>
      <w:r w:rsidR="00CF4808">
        <w:t>very concerning</w:t>
      </w:r>
      <w:r w:rsidR="00A35739">
        <w:t>: t</w:t>
      </w:r>
      <w:r w:rsidR="00A35739" w:rsidRPr="00A35739">
        <w:t>he transmission of COVID-19 is potent; the infection rate is fast; there is no specific drug or vaccine available and its treatment is mainly symptomatic supportive therapy</w:t>
      </w:r>
      <w:r>
        <w:t>. It is particularly challenging in developing parts of Asia where high population densities, combined with low infrastructure capacity, make social distancing interventions</w:t>
      </w:r>
      <w:r w:rsidR="00A35739">
        <w:t xml:space="preserve"> designed to reduce community transmission</w:t>
      </w:r>
      <w:r>
        <w:t xml:space="preserve">, near impossible. These </w:t>
      </w:r>
      <w:r w:rsidR="004970CC">
        <w:t>countries</w:t>
      </w:r>
      <w:r>
        <w:t xml:space="preserve"> </w:t>
      </w:r>
      <w:r w:rsidR="00A35739">
        <w:t>typically</w:t>
      </w:r>
      <w:r>
        <w:t xml:space="preserve"> have inadequate health services, ill-equipped to handle the </w:t>
      </w:r>
      <w:r w:rsidR="00A35739">
        <w:t>surges of</w:t>
      </w:r>
      <w:r>
        <w:t xml:space="preserve"> patients</w:t>
      </w:r>
      <w:r w:rsidR="00A35739">
        <w:t xml:space="preserve"> during the peaks of a pandemic</w:t>
      </w:r>
      <w:r>
        <w:t xml:space="preserve">. Similarly, in the Pacific, most countries have </w:t>
      </w:r>
      <w:r w:rsidR="00A35739">
        <w:t xml:space="preserve">insufficient health </w:t>
      </w:r>
      <w:r>
        <w:t>resources to manage th</w:t>
      </w:r>
      <w:r w:rsidR="00417D1D">
        <w:t>is</w:t>
      </w:r>
      <w:r>
        <w:t xml:space="preserve"> pandemic.</w:t>
      </w:r>
    </w:p>
    <w:p w14:paraId="2E96DB67" w14:textId="0FCA29DE" w:rsidR="00CA58E1" w:rsidRDefault="00CA58E1" w:rsidP="00CA58E1">
      <w:r>
        <w:t>There has been an emphasis on hygiene throughout the COVID-19 pandemic</w:t>
      </w:r>
      <w:r w:rsidR="00417D1D">
        <w:t xml:space="preserve">. Along with staying isolated if experiencing </w:t>
      </w:r>
      <w:r w:rsidR="00F236CD">
        <w:t>symptoms, adequate</w:t>
      </w:r>
      <w:r w:rsidR="00417D1D">
        <w:t xml:space="preserve"> </w:t>
      </w:r>
      <w:r>
        <w:t xml:space="preserve">hand hygiene practices have consistently formed a key part of the advice from </w:t>
      </w:r>
      <w:r w:rsidR="00417D1D">
        <w:t xml:space="preserve">health </w:t>
      </w:r>
      <w:r>
        <w:t>authorities. Access to water is clearly essential for good hygiene practices</w:t>
      </w:r>
      <w:r w:rsidR="001E7E06">
        <w:t xml:space="preserve"> given that </w:t>
      </w:r>
      <w:r w:rsidR="00417D1D">
        <w:t xml:space="preserve">effective </w:t>
      </w:r>
      <w:r w:rsidR="00D13990">
        <w:t>handwashing</w:t>
      </w:r>
      <w:r w:rsidR="001E7E06">
        <w:t xml:space="preserve"> with soap </w:t>
      </w:r>
      <w:r w:rsidR="00417D1D">
        <w:t xml:space="preserve">and water </w:t>
      </w:r>
      <w:r w:rsidR="001E7E06">
        <w:t>for</w:t>
      </w:r>
      <w:r w:rsidR="00417D1D">
        <w:t xml:space="preserve"> at least </w:t>
      </w:r>
      <w:r w:rsidR="001E7E06">
        <w:t xml:space="preserve">20 seconds is a key primary prevention strategy, with </w:t>
      </w:r>
      <w:r w:rsidR="00417D1D">
        <w:t xml:space="preserve">alcohol-based </w:t>
      </w:r>
      <w:r w:rsidR="001E7E06">
        <w:t xml:space="preserve">sanitiser </w:t>
      </w:r>
      <w:r w:rsidR="00417D1D">
        <w:t xml:space="preserve">use being </w:t>
      </w:r>
      <w:r w:rsidR="001E7E06">
        <w:t>recommended if access to soap and water are not available.</w:t>
      </w:r>
      <w:r w:rsidR="00AA24FF">
        <w:t xml:space="preserve"> </w:t>
      </w:r>
      <w:r w:rsidR="00847227">
        <w:t xml:space="preserve">Another common important intervention </w:t>
      </w:r>
      <w:r w:rsidR="00417D1D">
        <w:t xml:space="preserve">to minimise transmission of SAR-COV-2 </w:t>
      </w:r>
      <w:r w:rsidR="00847227">
        <w:t xml:space="preserve">is social isolation, something that is </w:t>
      </w:r>
      <w:r w:rsidR="00417D1D">
        <w:t xml:space="preserve">extremely difficult </w:t>
      </w:r>
      <w:r w:rsidR="00847227">
        <w:t xml:space="preserve">if there is no access to water and sanitation </w:t>
      </w:r>
      <w:r w:rsidR="00417D1D">
        <w:t xml:space="preserve">within </w:t>
      </w:r>
      <w:r w:rsidR="00847227">
        <w:t>premise</w:t>
      </w:r>
      <w:r w:rsidR="00417D1D">
        <w:t>s</w:t>
      </w:r>
      <w:r w:rsidR="00847227">
        <w:t>.</w:t>
      </w:r>
      <w:r w:rsidR="001E7E06">
        <w:t xml:space="preserve"> </w:t>
      </w:r>
      <w:r w:rsidR="00714472">
        <w:t>Further, it is possible that the COVID-19 pandemic will bring on a world-wide recession</w:t>
      </w:r>
      <w:r w:rsidR="009F2CEE">
        <w:t xml:space="preserve"> even in countries with only minor impacts to their health </w:t>
      </w:r>
      <w:r w:rsidR="009F2CEE">
        <w:lastRenderedPageBreak/>
        <w:t>systems. It is expected that countries that depend on other countries will be most impacted, particularly countries that depend on tourism (like Pacific countries) or countries that depend on imported food. I</w:t>
      </w:r>
      <w:r w:rsidR="000C7000">
        <w:t xml:space="preserve">n </w:t>
      </w:r>
      <w:r w:rsidR="009F2CEE">
        <w:t xml:space="preserve">this </w:t>
      </w:r>
      <w:r w:rsidR="000C7000">
        <w:t xml:space="preserve">case </w:t>
      </w:r>
      <w:r w:rsidR="00714472">
        <w:t>water and water security will play a critical role in a countr</w:t>
      </w:r>
      <w:r w:rsidR="00CF5F35">
        <w:t>y’</w:t>
      </w:r>
      <w:r w:rsidR="00714472">
        <w:t>s ability to recover from the pandemic.</w:t>
      </w:r>
    </w:p>
    <w:p w14:paraId="76E55ABE" w14:textId="77777777" w:rsidR="006172B9" w:rsidRDefault="006172B9" w:rsidP="0012237B">
      <w:pPr>
        <w:pStyle w:val="Heading2"/>
        <w:spacing w:after="0"/>
      </w:pPr>
      <w:r>
        <w:t>Case studies</w:t>
      </w:r>
    </w:p>
    <w:p w14:paraId="57D72FA5" w14:textId="77777777" w:rsidR="006172B9" w:rsidRPr="0011271C" w:rsidRDefault="006172B9" w:rsidP="006172B9">
      <w:r>
        <w:t>To ensure the accuracy of the method and the index, it is important to develop a deep understanding of COVID-19 responses in multiple countries to ensure that relevant factors are included and sufficiently weighted. To do this, it was decided that two rapid case studies would be completed on India and Vietnam. India was selected as it the country with the most cases in Asia (JHU, 2020) as of 9</w:t>
      </w:r>
      <w:r w:rsidRPr="0011271C">
        <w:rPr>
          <w:vertAlign w:val="superscript"/>
        </w:rPr>
        <w:t>th</w:t>
      </w:r>
      <w:r>
        <w:t xml:space="preserve"> June 2020. In contrast, Vietnam, was the first country to confirm a positive case of COVID-19 outside of China, to close its borders to visitors from China and has responded well with a total of just 332 cases as of 9</w:t>
      </w:r>
      <w:r w:rsidRPr="0011271C">
        <w:rPr>
          <w:vertAlign w:val="superscript"/>
        </w:rPr>
        <w:t>th</w:t>
      </w:r>
      <w:r>
        <w:t xml:space="preserve"> June 2020.</w:t>
      </w:r>
    </w:p>
    <w:p w14:paraId="754BBA42" w14:textId="77777777" w:rsidR="006172B9" w:rsidRDefault="006172B9" w:rsidP="0012237B">
      <w:pPr>
        <w:pStyle w:val="Heading3"/>
        <w:spacing w:after="0"/>
      </w:pPr>
      <w:r>
        <w:t>Vietnam</w:t>
      </w:r>
    </w:p>
    <w:p w14:paraId="753576B3" w14:textId="77777777" w:rsidR="006172B9" w:rsidRDefault="006172B9" w:rsidP="006172B9">
      <w:r>
        <w:t xml:space="preserve">This case study was informed by </w:t>
      </w:r>
      <w:r w:rsidRPr="001B7A42">
        <w:t>La, Viet-Phuong, et al.</w:t>
      </w:r>
      <w:r>
        <w:t xml:space="preserve"> (2020)</w:t>
      </w:r>
      <w:r w:rsidRPr="001B7A42">
        <w:t xml:space="preserve"> "Policy Response, Social Media and Science Journalism for the Sustainability of the Public Health System Amid the COVID-19 Outbreak: The Vietnam Lessons." Sustainability 12.7 2931.</w:t>
      </w:r>
    </w:p>
    <w:p w14:paraId="1F17B3A1" w14:textId="77777777" w:rsidR="006172B9" w:rsidRDefault="006172B9" w:rsidP="006172B9">
      <w:r>
        <w:t>Despite being the first country to identify a positive case of COVID-19 outside of China on the 23</w:t>
      </w:r>
      <w:r w:rsidRPr="00D86688">
        <w:rPr>
          <w:vertAlign w:val="superscript"/>
        </w:rPr>
        <w:t>rd</w:t>
      </w:r>
      <w:r>
        <w:t xml:space="preserve"> of Jan, Vietnam has been able to contain the spread of the virus and have only recorded 332 cases (as of 9</w:t>
      </w:r>
      <w:r w:rsidRPr="0011271C">
        <w:rPr>
          <w:vertAlign w:val="superscript"/>
        </w:rPr>
        <w:t>th</w:t>
      </w:r>
      <w:r>
        <w:t xml:space="preserve"> June 2020). Vietnam acted quickly to try to delay and limit the importation of the virus, as early as the 3</w:t>
      </w:r>
      <w:r w:rsidRPr="00D86688">
        <w:rPr>
          <w:vertAlign w:val="superscript"/>
        </w:rPr>
        <w:t>rd</w:t>
      </w:r>
      <w:r>
        <w:t xml:space="preserve"> of Jan Vietnam tightened the border with China and in the ensuing weeks and months tightened and closed borders with China and other countries before most other countries.</w:t>
      </w:r>
    </w:p>
    <w:p w14:paraId="6B52F20A" w14:textId="51781EF4" w:rsidR="006172B9" w:rsidRDefault="006172B9" w:rsidP="006172B9">
      <w:r>
        <w:t xml:space="preserve">Most of the Vietnamese government’s actions </w:t>
      </w:r>
      <w:r w:rsidR="000C7000">
        <w:t xml:space="preserve">were </w:t>
      </w:r>
      <w:r>
        <w:t xml:space="preserve">designed to contain the spread of COVID-19. The government immediately increased the health system’s contact tracing capacity, forced isolation of suspected carriers, pushed strongly to increase their testing capacity, and developed a massive, targeted risk communication campaign. Along with recruiting an “army” of contact tracers, the government published the name, picture, and details of anyone who had tested positive on social media to ensure anyone that had </w:t>
      </w:r>
      <w:proofErr w:type="gramStart"/>
      <w:r>
        <w:t>come into contact with</w:t>
      </w:r>
      <w:proofErr w:type="gramEnd"/>
      <w:r>
        <w:t xml:space="preserve"> them was found. The government also quarantined tens of thousands of people, including entire districts, with all services provided for free by the government. Vietnam also vastly increased their infection testing capacity with Vietnamese researchers developing several diagnostic kits that had even been exported to Europe and the USA. Further, Vietnam used a massive social media push with messaging utilising war metaphors and patriotism and a deliberate focus on science communication to fight misinformation. Recogni</w:t>
      </w:r>
      <w:r w:rsidR="005A3B6E">
        <w:t>tion of</w:t>
      </w:r>
      <w:r>
        <w:t xml:space="preserve"> the importance of these early, combined actions w</w:t>
      </w:r>
      <w:r w:rsidR="005A3B6E">
        <w:t>as</w:t>
      </w:r>
      <w:r>
        <w:t xml:space="preserve"> attributed to learning from the SARS pandemic in 2003.</w:t>
      </w:r>
    </w:p>
    <w:p w14:paraId="238B3A49" w14:textId="77777777" w:rsidR="006172B9" w:rsidRDefault="006172B9" w:rsidP="0012237B">
      <w:pPr>
        <w:pStyle w:val="Heading3"/>
        <w:spacing w:after="0"/>
      </w:pPr>
      <w:r>
        <w:t>India</w:t>
      </w:r>
    </w:p>
    <w:p w14:paraId="2F47B89E" w14:textId="77777777" w:rsidR="006172B9" w:rsidRPr="001B7A42" w:rsidRDefault="006172B9" w:rsidP="006172B9">
      <w:r>
        <w:lastRenderedPageBreak/>
        <w:t>This case study was informed by</w:t>
      </w:r>
      <w:r w:rsidRPr="001B7A42">
        <w:t xml:space="preserve"> </w:t>
      </w:r>
      <w:r>
        <w:t>Editorial</w:t>
      </w:r>
      <w:r w:rsidRPr="001B7A42">
        <w:t>. (2020). India under COVID-19 lockdown. Lancet (London, England), 395(10233), 1315.</w:t>
      </w:r>
    </w:p>
    <w:p w14:paraId="6D8264C8" w14:textId="77777777" w:rsidR="006172B9" w:rsidRDefault="006172B9" w:rsidP="006172B9">
      <w:r>
        <w:t xml:space="preserve">India has had the most cases in Asia to date. Like Vietnam, the government’s main actions have been to try to contain the spread of the virus with a large national lockdown, considered the world’s largest ever lockdown and drawing praise from the World Health Organisation. However, the lockdown was not successful, with its sudden imposition leaving many vulnerable people including migrant workers with no food. Breaks in the lockdown were needed to allow laid-off workers to either travel home or to work in the informal economy. The government’s attempts to provide food and financial support to those that were vulnerable proved inadequate. While India’s relatively young population is a positive factor, the already overburdened medical system is not expected to be able to cope with the influx of COVID-19 patients. Further, there has been significant misinformation driving fear and violence against health workers and the Muslim community. </w:t>
      </w:r>
    </w:p>
    <w:p w14:paraId="3E612F43" w14:textId="77777777" w:rsidR="006172B9" w:rsidRDefault="006172B9" w:rsidP="006172B9">
      <w:r>
        <w:t xml:space="preserve">An interesting feature of the Indian story is that there are significant differences in preparedness and response between states. Notably Kerala, which experienced a </w:t>
      </w:r>
      <w:proofErr w:type="spellStart"/>
      <w:r>
        <w:t>Nipah</w:t>
      </w:r>
      <w:proofErr w:type="spellEnd"/>
      <w:r>
        <w:t xml:space="preserve"> epidemic in 2018, has had significantly fewer cases than most other states. </w:t>
      </w:r>
    </w:p>
    <w:p w14:paraId="1F3E3A25" w14:textId="07221DE7" w:rsidR="00184800" w:rsidRDefault="004970CC" w:rsidP="00714472">
      <w:pPr>
        <w:pStyle w:val="Heading1"/>
        <w:spacing w:after="0"/>
      </w:pPr>
      <w:r>
        <w:t>Approach</w:t>
      </w:r>
    </w:p>
    <w:p w14:paraId="15F82369" w14:textId="7A559AB7" w:rsidR="00184800" w:rsidRDefault="00184800" w:rsidP="00184800">
      <w:r>
        <w:t xml:space="preserve">The method for this project can be broken down into </w:t>
      </w:r>
      <w:r w:rsidR="00506107">
        <w:t>five</w:t>
      </w:r>
      <w:r>
        <w:t xml:space="preserve"> </w:t>
      </w:r>
      <w:r w:rsidR="00714472">
        <w:t>components.</w:t>
      </w:r>
    </w:p>
    <w:p w14:paraId="0D2313AD" w14:textId="29FB147F" w:rsidR="00184800" w:rsidRDefault="00184800" w:rsidP="00184800">
      <w:pPr>
        <w:pStyle w:val="ListParagraph"/>
        <w:numPr>
          <w:ilvl w:val="0"/>
          <w:numId w:val="16"/>
        </w:numPr>
      </w:pPr>
      <w:r>
        <w:t>Creating the framework</w:t>
      </w:r>
      <w:r w:rsidR="001F544E">
        <w:t xml:space="preserve"> for assessing the risk</w:t>
      </w:r>
    </w:p>
    <w:p w14:paraId="1008CF3D" w14:textId="7F8905DD" w:rsidR="00184800" w:rsidRDefault="00824025" w:rsidP="00184800">
      <w:pPr>
        <w:pStyle w:val="ListParagraph"/>
        <w:numPr>
          <w:ilvl w:val="0"/>
          <w:numId w:val="16"/>
        </w:numPr>
      </w:pPr>
      <w:r>
        <w:t xml:space="preserve">Identifying </w:t>
      </w:r>
      <w:r w:rsidR="00417D1D">
        <w:t xml:space="preserve">relevant </w:t>
      </w:r>
      <w:r>
        <w:t>factors</w:t>
      </w:r>
      <w:r w:rsidR="00417D1D">
        <w:t xml:space="preserve"> and metrics</w:t>
      </w:r>
      <w:r w:rsidR="008B0835">
        <w:t xml:space="preserve"> that could inform each component of the risk framework</w:t>
      </w:r>
    </w:p>
    <w:p w14:paraId="23C9E778" w14:textId="47E72676" w:rsidR="00824025" w:rsidRDefault="00824025" w:rsidP="00184800">
      <w:pPr>
        <w:pStyle w:val="ListParagraph"/>
        <w:numPr>
          <w:ilvl w:val="0"/>
          <w:numId w:val="16"/>
        </w:numPr>
      </w:pPr>
      <w:r>
        <w:t xml:space="preserve">Categorising factors </w:t>
      </w:r>
      <w:r w:rsidR="004A3AFF">
        <w:t>within the structure of</w:t>
      </w:r>
      <w:r>
        <w:t xml:space="preserve"> the framework</w:t>
      </w:r>
    </w:p>
    <w:p w14:paraId="0318339A" w14:textId="65637995" w:rsidR="00824025" w:rsidRDefault="0022450C" w:rsidP="00184800">
      <w:pPr>
        <w:pStyle w:val="ListParagraph"/>
        <w:numPr>
          <w:ilvl w:val="0"/>
          <w:numId w:val="16"/>
        </w:numPr>
      </w:pPr>
      <w:r>
        <w:t>Developing an approach for</w:t>
      </w:r>
      <w:r w:rsidR="002443B8">
        <w:t xml:space="preserve"> calculating risk element scores</w:t>
      </w:r>
      <w:r w:rsidR="004D0271">
        <w:t xml:space="preserve"> (</w:t>
      </w:r>
      <w:r w:rsidR="00CC4ED5">
        <w:t>including review o</w:t>
      </w:r>
      <w:r w:rsidR="004D0271">
        <w:t>f</w:t>
      </w:r>
      <w:r w:rsidR="00CC4ED5">
        <w:t xml:space="preserve"> 9 different </w:t>
      </w:r>
      <w:r w:rsidR="004D0271">
        <w:t xml:space="preserve">calculation </w:t>
      </w:r>
      <w:r w:rsidR="00CC4ED5">
        <w:t>approaches for</w:t>
      </w:r>
      <w:r w:rsidR="004D0271">
        <w:t xml:space="preserve"> a subset of</w:t>
      </w:r>
      <w:r w:rsidR="00CC4ED5">
        <w:t xml:space="preserve"> 10 selected countries</w:t>
      </w:r>
      <w:r w:rsidR="004D0271">
        <w:t>)</w:t>
      </w:r>
      <w:r w:rsidR="00CC4ED5">
        <w:t xml:space="preserve"> </w:t>
      </w:r>
      <w:r w:rsidR="00824025">
        <w:t xml:space="preserve"> </w:t>
      </w:r>
    </w:p>
    <w:p w14:paraId="53DC479B" w14:textId="343C2810" w:rsidR="00C85247" w:rsidRDefault="00096FDD" w:rsidP="00184800">
      <w:pPr>
        <w:pStyle w:val="ListParagraph"/>
        <w:numPr>
          <w:ilvl w:val="0"/>
          <w:numId w:val="16"/>
        </w:numPr>
      </w:pPr>
      <w:r>
        <w:t>Implementation and preliminary prioritisation of</w:t>
      </w:r>
      <w:r w:rsidR="00C85247">
        <w:t xml:space="preserve"> </w:t>
      </w:r>
      <w:r>
        <w:t>47 countries in the Asia-Pacific region</w:t>
      </w:r>
    </w:p>
    <w:p w14:paraId="19C04AF9" w14:textId="65DF9998" w:rsidR="00750586" w:rsidRDefault="00750586" w:rsidP="00184800">
      <w:pPr>
        <w:pStyle w:val="ListParagraph"/>
        <w:numPr>
          <w:ilvl w:val="0"/>
          <w:numId w:val="16"/>
        </w:numPr>
      </w:pPr>
      <w:r>
        <w:t xml:space="preserve">Review of the </w:t>
      </w:r>
      <w:r w:rsidR="0013633F">
        <w:t xml:space="preserve">prioritisation for </w:t>
      </w:r>
      <w:r>
        <w:t>two specific country case studies (India and Viet Nam)</w:t>
      </w:r>
    </w:p>
    <w:p w14:paraId="2C28783C" w14:textId="4757E0F8" w:rsidR="00824025" w:rsidRDefault="00824025" w:rsidP="006172B9">
      <w:pPr>
        <w:pStyle w:val="Heading2"/>
        <w:numPr>
          <w:ilvl w:val="0"/>
          <w:numId w:val="29"/>
        </w:numPr>
        <w:spacing w:after="0"/>
      </w:pPr>
      <w:r>
        <w:t>Creating the framework</w:t>
      </w:r>
      <w:r w:rsidR="004D0271">
        <w:t xml:space="preserve"> for assessing the risk</w:t>
      </w:r>
    </w:p>
    <w:p w14:paraId="12F3D848" w14:textId="54622BCF" w:rsidR="00824025" w:rsidRDefault="00714472" w:rsidP="00824025">
      <w:r>
        <w:t>To</w:t>
      </w:r>
      <w:r w:rsidR="00824025">
        <w:t xml:space="preserve"> </w:t>
      </w:r>
      <w:r w:rsidR="00417D1D">
        <w:t xml:space="preserve">provide </w:t>
      </w:r>
      <w:r>
        <w:t>a</w:t>
      </w:r>
      <w:r w:rsidR="00824025">
        <w:t xml:space="preserve"> holistic assessment </w:t>
      </w:r>
      <w:r w:rsidR="00417D1D">
        <w:t>tool</w:t>
      </w:r>
      <w:r w:rsidR="00824025">
        <w:t xml:space="preserve">, the framework </w:t>
      </w:r>
      <w:r w:rsidR="00506107">
        <w:t>must</w:t>
      </w:r>
      <w:r w:rsidR="00824025">
        <w:t xml:space="preserve"> be appropriate </w:t>
      </w:r>
      <w:r w:rsidR="00417D1D">
        <w:t xml:space="preserve">for </w:t>
      </w:r>
      <w:r>
        <w:t>measur</w:t>
      </w:r>
      <w:r w:rsidR="00417D1D">
        <w:t>ing</w:t>
      </w:r>
      <w:r w:rsidR="00824025">
        <w:t xml:space="preserve"> the </w:t>
      </w:r>
      <w:r>
        <w:t>risks from</w:t>
      </w:r>
      <w:r w:rsidR="00824025">
        <w:t xml:space="preserve"> COVID-19 to society in general, not </w:t>
      </w:r>
      <w:r w:rsidR="00417D1D">
        <w:t xml:space="preserve">only those </w:t>
      </w:r>
      <w:r w:rsidR="00824025">
        <w:t xml:space="preserve">specific to water. </w:t>
      </w:r>
      <w:r w:rsidR="00417D1D">
        <w:t>This allows the relative importance of factors reliant on water security during different phases of a pandemic to be assessed.</w:t>
      </w:r>
      <w:r w:rsidR="00824025">
        <w:t xml:space="preserve"> </w:t>
      </w:r>
      <w:r w:rsidR="00506107">
        <w:t>It is</w:t>
      </w:r>
      <w:r w:rsidR="00824025">
        <w:t xml:space="preserve"> important that the framework</w:t>
      </w:r>
      <w:r w:rsidR="000502B6">
        <w:t xml:space="preserve"> is based on </w:t>
      </w:r>
      <w:r w:rsidR="00481A68">
        <w:t xml:space="preserve">risk assessment </w:t>
      </w:r>
      <w:r w:rsidR="000502B6">
        <w:t>principles of</w:t>
      </w:r>
      <w:r w:rsidR="00824025">
        <w:t xml:space="preserve"> </w:t>
      </w:r>
      <w:r>
        <w:t>and</w:t>
      </w:r>
      <w:r w:rsidR="00824025">
        <w:t xml:space="preserve"> to include </w:t>
      </w:r>
      <w:r w:rsidR="00D24F1F">
        <w:t>an</w:t>
      </w:r>
      <w:r w:rsidR="00FE0851">
        <w:t xml:space="preserve"> </w:t>
      </w:r>
      <w:r>
        <w:t xml:space="preserve">element of </w:t>
      </w:r>
      <w:r w:rsidR="00824025">
        <w:t>temporal</w:t>
      </w:r>
      <w:r>
        <w:t>ity</w:t>
      </w:r>
      <w:r w:rsidR="006A5D0D">
        <w:t xml:space="preserve"> that reflected different phases of the impact of COVID-1</w:t>
      </w:r>
      <w:r w:rsidR="00897C11">
        <w:t>9</w:t>
      </w:r>
      <w:r w:rsidR="006A5D0D">
        <w:t xml:space="preserve"> on a country (short, </w:t>
      </w:r>
      <w:proofErr w:type="gramStart"/>
      <w:r w:rsidR="006A5D0D">
        <w:t>medium</w:t>
      </w:r>
      <w:proofErr w:type="gramEnd"/>
      <w:r w:rsidR="006A5D0D">
        <w:t xml:space="preserve"> and long-term)</w:t>
      </w:r>
      <w:r w:rsidR="00824025">
        <w:t>.</w:t>
      </w:r>
      <w:r w:rsidR="00FE0851">
        <w:t xml:space="preserve"> </w:t>
      </w:r>
    </w:p>
    <w:p w14:paraId="6C719A87" w14:textId="396AC489" w:rsidR="00824025" w:rsidRDefault="00714472" w:rsidP="00824025">
      <w:r>
        <w:lastRenderedPageBreak/>
        <w:t>I</w:t>
      </w:r>
      <w:r w:rsidR="00824025">
        <w:t xml:space="preserve">n </w:t>
      </w:r>
      <w:r w:rsidR="00417D1D">
        <w:t>T</w:t>
      </w:r>
      <w:r w:rsidR="00824025">
        <w:t xml:space="preserve">able </w:t>
      </w:r>
      <w:r>
        <w:t>1</w:t>
      </w:r>
      <w:r w:rsidR="00824025">
        <w:t xml:space="preserve">, previous frameworks considered </w:t>
      </w:r>
      <w:r w:rsidR="00417D1D">
        <w:t xml:space="preserve">are listed </w:t>
      </w:r>
      <w:r w:rsidR="00824025">
        <w:t xml:space="preserve">and how they were included in the final </w:t>
      </w:r>
      <w:r w:rsidR="00417D1D">
        <w:t>Index outlined</w:t>
      </w:r>
      <w:r w:rsidR="00824025">
        <w:t>.</w:t>
      </w:r>
    </w:p>
    <w:p w14:paraId="616A02E7" w14:textId="63E48A02" w:rsidR="00714472" w:rsidRDefault="00714472" w:rsidP="00714472">
      <w:pPr>
        <w:pStyle w:val="Caption"/>
        <w:keepNext/>
      </w:pPr>
      <w:r>
        <w:t xml:space="preserve">Table </w:t>
      </w:r>
      <w:r w:rsidR="00047BE6">
        <w:fldChar w:fldCharType="begin"/>
      </w:r>
      <w:r w:rsidR="00047BE6">
        <w:instrText xml:space="preserve"> SEQ Table \* ARABIC </w:instrText>
      </w:r>
      <w:r w:rsidR="00047BE6">
        <w:fldChar w:fldCharType="separate"/>
      </w:r>
      <w:r w:rsidR="00453014">
        <w:rPr>
          <w:noProof/>
        </w:rPr>
        <w:t>1</w:t>
      </w:r>
      <w:r w:rsidR="00047BE6">
        <w:rPr>
          <w:noProof/>
        </w:rPr>
        <w:fldChar w:fldCharType="end"/>
      </w:r>
      <w:r>
        <w:t xml:space="preserve">. </w:t>
      </w:r>
      <w:r w:rsidR="005D53FD">
        <w:t xml:space="preserve">Alternative </w:t>
      </w:r>
      <w:r>
        <w:t xml:space="preserve">frameworks considered when developing the framework for the </w:t>
      </w:r>
      <w:r w:rsidR="00D13990">
        <w:t>COVID</w:t>
      </w:r>
      <w:r w:rsidR="005D53FD">
        <w:t xml:space="preserve">-19 risk </w:t>
      </w:r>
      <w:r>
        <w:t xml:space="preserve">index </w:t>
      </w:r>
    </w:p>
    <w:tbl>
      <w:tblPr>
        <w:tblStyle w:val="PlainTable1"/>
        <w:tblW w:w="9634" w:type="dxa"/>
        <w:tblLook w:val="04A0" w:firstRow="1" w:lastRow="0" w:firstColumn="1" w:lastColumn="0" w:noHBand="0" w:noVBand="1"/>
      </w:tblPr>
      <w:tblGrid>
        <w:gridCol w:w="1838"/>
        <w:gridCol w:w="2977"/>
        <w:gridCol w:w="4819"/>
      </w:tblGrid>
      <w:tr w:rsidR="00D076AD" w:rsidRPr="00D076AD" w14:paraId="2C21CC50" w14:textId="77777777" w:rsidTr="00D076AD">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4A53ED6A" w14:textId="4A980BB0" w:rsidR="00110320" w:rsidRPr="00D076AD" w:rsidRDefault="00110320" w:rsidP="00110320">
            <w:pPr>
              <w:spacing w:after="0"/>
              <w:rPr>
                <w:color w:val="auto"/>
                <w:szCs w:val="16"/>
              </w:rPr>
            </w:pPr>
            <w:r w:rsidRPr="00D076AD">
              <w:rPr>
                <w:color w:val="auto"/>
                <w:szCs w:val="16"/>
              </w:rPr>
              <w:t>Framework</w:t>
            </w:r>
          </w:p>
        </w:tc>
        <w:tc>
          <w:tcPr>
            <w:tcW w:w="2977" w:type="dxa"/>
            <w:shd w:val="clear" w:color="auto" w:fill="auto"/>
          </w:tcPr>
          <w:p w14:paraId="10C7D49A" w14:textId="71A33B71" w:rsidR="00110320" w:rsidRPr="00D076AD" w:rsidRDefault="00110320" w:rsidP="00110320">
            <w:pPr>
              <w:spacing w:after="0"/>
              <w:cnfStyle w:val="100000000000" w:firstRow="1" w:lastRow="0" w:firstColumn="0" w:lastColumn="0" w:oddVBand="0" w:evenVBand="0" w:oddHBand="0" w:evenHBand="0" w:firstRowFirstColumn="0" w:firstRowLastColumn="0" w:lastRowFirstColumn="0" w:lastRowLastColumn="0"/>
              <w:rPr>
                <w:color w:val="auto"/>
                <w:szCs w:val="16"/>
              </w:rPr>
            </w:pPr>
            <w:r w:rsidRPr="00D076AD">
              <w:rPr>
                <w:color w:val="auto"/>
                <w:szCs w:val="16"/>
              </w:rPr>
              <w:t>Description</w:t>
            </w:r>
          </w:p>
        </w:tc>
        <w:tc>
          <w:tcPr>
            <w:tcW w:w="4819" w:type="dxa"/>
            <w:shd w:val="clear" w:color="auto" w:fill="auto"/>
          </w:tcPr>
          <w:p w14:paraId="5D33CA4C" w14:textId="0A1956E2" w:rsidR="00110320" w:rsidRPr="00D076AD" w:rsidRDefault="00110320" w:rsidP="00110320">
            <w:pPr>
              <w:spacing w:after="0"/>
              <w:cnfStyle w:val="100000000000" w:firstRow="1" w:lastRow="0" w:firstColumn="0" w:lastColumn="0" w:oddVBand="0" w:evenVBand="0" w:oddHBand="0" w:evenHBand="0" w:firstRowFirstColumn="0" w:firstRowLastColumn="0" w:lastRowFirstColumn="0" w:lastRowLastColumn="0"/>
              <w:rPr>
                <w:color w:val="auto"/>
                <w:szCs w:val="16"/>
              </w:rPr>
            </w:pPr>
            <w:r w:rsidRPr="00D076AD">
              <w:rPr>
                <w:color w:val="auto"/>
                <w:szCs w:val="16"/>
              </w:rPr>
              <w:t>How is was included</w:t>
            </w:r>
          </w:p>
        </w:tc>
      </w:tr>
      <w:tr w:rsidR="00D076AD" w:rsidRPr="00D076AD" w14:paraId="0C47D5E1" w14:textId="77777777" w:rsidTr="00D07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7932A5D5" w14:textId="3B7E94C1" w:rsidR="00110320" w:rsidRPr="00D076AD" w:rsidRDefault="00110320" w:rsidP="00110320">
            <w:pPr>
              <w:spacing w:after="0"/>
              <w:rPr>
                <w:color w:val="auto"/>
              </w:rPr>
            </w:pPr>
            <w:r w:rsidRPr="00D076AD">
              <w:rPr>
                <w:color w:val="auto"/>
              </w:rPr>
              <w:t>AWDO KD5 framework (2020)</w:t>
            </w:r>
          </w:p>
        </w:tc>
        <w:tc>
          <w:tcPr>
            <w:tcW w:w="2977" w:type="dxa"/>
            <w:shd w:val="clear" w:color="auto" w:fill="auto"/>
          </w:tcPr>
          <w:p w14:paraId="2710CE59" w14:textId="69A351AC" w:rsidR="00110320" w:rsidRPr="00D076AD" w:rsidRDefault="00110320" w:rsidP="00110320">
            <w:pPr>
              <w:spacing w:after="0"/>
              <w:cnfStyle w:val="000000100000" w:firstRow="0" w:lastRow="0" w:firstColumn="0" w:lastColumn="0" w:oddVBand="0" w:evenVBand="0" w:oddHBand="1" w:evenHBand="0" w:firstRowFirstColumn="0" w:firstRowLastColumn="0" w:lastRowFirstColumn="0" w:lastRowLastColumn="0"/>
              <w:rPr>
                <w:color w:val="auto"/>
              </w:rPr>
            </w:pPr>
            <w:r w:rsidRPr="00D076AD">
              <w:rPr>
                <w:color w:val="auto"/>
              </w:rPr>
              <w:t xml:space="preserve">Framework to measure </w:t>
            </w:r>
            <w:r w:rsidR="000502B6" w:rsidRPr="00D076AD">
              <w:rPr>
                <w:color w:val="auto"/>
              </w:rPr>
              <w:t>r</w:t>
            </w:r>
            <w:r w:rsidRPr="00D076AD">
              <w:rPr>
                <w:color w:val="auto"/>
              </w:rPr>
              <w:t>esilience to water related disasters</w:t>
            </w:r>
          </w:p>
        </w:tc>
        <w:tc>
          <w:tcPr>
            <w:tcW w:w="4819" w:type="dxa"/>
            <w:shd w:val="clear" w:color="auto" w:fill="auto"/>
          </w:tcPr>
          <w:p w14:paraId="4AC8EA72" w14:textId="7308D7AA" w:rsidR="00110320" w:rsidRPr="00D076AD" w:rsidRDefault="00110320" w:rsidP="00110320">
            <w:pPr>
              <w:spacing w:after="0"/>
              <w:cnfStyle w:val="000000100000" w:firstRow="0" w:lastRow="0" w:firstColumn="0" w:lastColumn="0" w:oddVBand="0" w:evenVBand="0" w:oddHBand="1" w:evenHBand="0" w:firstRowFirstColumn="0" w:firstRowLastColumn="0" w:lastRowFirstColumn="0" w:lastRowLastColumn="0"/>
              <w:rPr>
                <w:color w:val="auto"/>
              </w:rPr>
            </w:pPr>
            <w:r w:rsidRPr="00D076AD">
              <w:rPr>
                <w:color w:val="auto"/>
              </w:rPr>
              <w:t>Considered but not included</w:t>
            </w:r>
          </w:p>
        </w:tc>
      </w:tr>
      <w:tr w:rsidR="00D076AD" w:rsidRPr="00D076AD" w14:paraId="7153D3D3" w14:textId="77777777" w:rsidTr="00D076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54446E43" w14:textId="4F54F73D" w:rsidR="00110320" w:rsidRPr="00D076AD" w:rsidRDefault="00110320" w:rsidP="00110320">
            <w:pPr>
              <w:spacing w:after="0"/>
              <w:rPr>
                <w:color w:val="auto"/>
              </w:rPr>
            </w:pPr>
            <w:r w:rsidRPr="00D076AD">
              <w:rPr>
                <w:color w:val="auto"/>
              </w:rPr>
              <w:t>RAND (2016)</w:t>
            </w:r>
          </w:p>
        </w:tc>
        <w:tc>
          <w:tcPr>
            <w:tcW w:w="2977" w:type="dxa"/>
            <w:shd w:val="clear" w:color="auto" w:fill="auto"/>
          </w:tcPr>
          <w:p w14:paraId="6046EDE2" w14:textId="2DCC02C0" w:rsidR="00110320" w:rsidRPr="00D076AD" w:rsidRDefault="00110320" w:rsidP="00110320">
            <w:pPr>
              <w:spacing w:after="0"/>
              <w:cnfStyle w:val="000000010000" w:firstRow="0" w:lastRow="0" w:firstColumn="0" w:lastColumn="0" w:oddVBand="0" w:evenVBand="0" w:oddHBand="0" w:evenHBand="1" w:firstRowFirstColumn="0" w:firstRowLastColumn="0" w:lastRowFirstColumn="0" w:lastRowLastColumn="0"/>
              <w:rPr>
                <w:color w:val="auto"/>
              </w:rPr>
            </w:pPr>
            <w:r w:rsidRPr="00D076AD">
              <w:rPr>
                <w:color w:val="auto"/>
              </w:rPr>
              <w:t>Index that measures countries</w:t>
            </w:r>
            <w:r w:rsidR="00417D1D" w:rsidRPr="00D076AD">
              <w:rPr>
                <w:color w:val="auto"/>
              </w:rPr>
              <w:t>’</w:t>
            </w:r>
            <w:r w:rsidRPr="00D076AD">
              <w:rPr>
                <w:color w:val="auto"/>
              </w:rPr>
              <w:t xml:space="preserve"> vulnerability to infectious diseases</w:t>
            </w:r>
          </w:p>
        </w:tc>
        <w:tc>
          <w:tcPr>
            <w:tcW w:w="4819" w:type="dxa"/>
            <w:shd w:val="clear" w:color="auto" w:fill="auto"/>
          </w:tcPr>
          <w:p w14:paraId="1C20E65F" w14:textId="7EDA4991" w:rsidR="00110320" w:rsidRPr="00D076AD" w:rsidRDefault="00110320" w:rsidP="00110320">
            <w:pPr>
              <w:spacing w:after="0"/>
              <w:cnfStyle w:val="000000010000" w:firstRow="0" w:lastRow="0" w:firstColumn="0" w:lastColumn="0" w:oddVBand="0" w:evenVBand="0" w:oddHBand="0" w:evenHBand="1" w:firstRowFirstColumn="0" w:firstRowLastColumn="0" w:lastRowFirstColumn="0" w:lastRowLastColumn="0"/>
              <w:rPr>
                <w:color w:val="auto"/>
              </w:rPr>
            </w:pPr>
            <w:r w:rsidRPr="00D076AD">
              <w:rPr>
                <w:color w:val="auto"/>
              </w:rPr>
              <w:t>Considered but not included</w:t>
            </w:r>
          </w:p>
        </w:tc>
      </w:tr>
      <w:tr w:rsidR="00D076AD" w:rsidRPr="00D076AD" w14:paraId="15E58BC5" w14:textId="77777777" w:rsidTr="00D07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3CB78097" w14:textId="0B08BF10" w:rsidR="00110320" w:rsidRPr="00D076AD" w:rsidRDefault="00110320" w:rsidP="00110320">
            <w:pPr>
              <w:spacing w:after="0"/>
              <w:rPr>
                <w:color w:val="auto"/>
              </w:rPr>
            </w:pPr>
            <w:r w:rsidRPr="00D076AD">
              <w:rPr>
                <w:color w:val="auto"/>
              </w:rPr>
              <w:t>Oppenheim (2019)</w:t>
            </w:r>
          </w:p>
        </w:tc>
        <w:tc>
          <w:tcPr>
            <w:tcW w:w="2977" w:type="dxa"/>
            <w:shd w:val="clear" w:color="auto" w:fill="auto"/>
          </w:tcPr>
          <w:p w14:paraId="66CCECE8" w14:textId="3E7003EE" w:rsidR="00110320" w:rsidRPr="00D076AD" w:rsidRDefault="00110320" w:rsidP="00110320">
            <w:pPr>
              <w:spacing w:after="0"/>
              <w:cnfStyle w:val="000000100000" w:firstRow="0" w:lastRow="0" w:firstColumn="0" w:lastColumn="0" w:oddVBand="0" w:evenVBand="0" w:oddHBand="1" w:evenHBand="0" w:firstRowFirstColumn="0" w:firstRowLastColumn="0" w:lastRowFirstColumn="0" w:lastRowLastColumn="0"/>
              <w:rPr>
                <w:color w:val="auto"/>
              </w:rPr>
            </w:pPr>
            <w:r w:rsidRPr="00D076AD">
              <w:rPr>
                <w:color w:val="auto"/>
              </w:rPr>
              <w:t>Index that measures countries</w:t>
            </w:r>
            <w:r w:rsidR="00417D1D" w:rsidRPr="00D076AD">
              <w:rPr>
                <w:color w:val="auto"/>
              </w:rPr>
              <w:t>’</w:t>
            </w:r>
            <w:r w:rsidRPr="00D076AD">
              <w:rPr>
                <w:color w:val="auto"/>
              </w:rPr>
              <w:t xml:space="preserve"> preparedness for epidemics</w:t>
            </w:r>
          </w:p>
        </w:tc>
        <w:tc>
          <w:tcPr>
            <w:tcW w:w="4819" w:type="dxa"/>
            <w:shd w:val="clear" w:color="auto" w:fill="auto"/>
          </w:tcPr>
          <w:p w14:paraId="5EA96821" w14:textId="4F7691A4" w:rsidR="00110320" w:rsidRPr="00D076AD" w:rsidRDefault="00110320" w:rsidP="00110320">
            <w:pPr>
              <w:spacing w:after="0"/>
              <w:cnfStyle w:val="000000100000" w:firstRow="0" w:lastRow="0" w:firstColumn="0" w:lastColumn="0" w:oddVBand="0" w:evenVBand="0" w:oddHBand="1" w:evenHBand="0" w:firstRowFirstColumn="0" w:firstRowLastColumn="0" w:lastRowFirstColumn="0" w:lastRowLastColumn="0"/>
              <w:rPr>
                <w:color w:val="auto"/>
              </w:rPr>
            </w:pPr>
            <w:r w:rsidRPr="00D076AD">
              <w:rPr>
                <w:color w:val="auto"/>
              </w:rPr>
              <w:t>Considered but not included</w:t>
            </w:r>
          </w:p>
        </w:tc>
      </w:tr>
      <w:tr w:rsidR="00D076AD" w:rsidRPr="00D076AD" w14:paraId="06B6AD5E" w14:textId="77777777" w:rsidTr="00D076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3B977392" w14:textId="3F0750BE" w:rsidR="00110320" w:rsidRPr="00D076AD" w:rsidRDefault="00110320" w:rsidP="00110320">
            <w:pPr>
              <w:spacing w:after="0"/>
              <w:rPr>
                <w:color w:val="auto"/>
              </w:rPr>
            </w:pPr>
            <w:r w:rsidRPr="00D076AD">
              <w:rPr>
                <w:color w:val="auto"/>
                <w:lang w:val="en-US"/>
              </w:rPr>
              <w:t>Australian Government H1N1 response (2010)</w:t>
            </w:r>
          </w:p>
        </w:tc>
        <w:tc>
          <w:tcPr>
            <w:tcW w:w="2977" w:type="dxa"/>
            <w:shd w:val="clear" w:color="auto" w:fill="auto"/>
          </w:tcPr>
          <w:p w14:paraId="3C397631" w14:textId="17385FB0" w:rsidR="00110320" w:rsidRPr="00D076AD" w:rsidRDefault="00110320" w:rsidP="00110320">
            <w:pPr>
              <w:spacing w:after="0"/>
              <w:cnfStyle w:val="000000010000" w:firstRow="0" w:lastRow="0" w:firstColumn="0" w:lastColumn="0" w:oddVBand="0" w:evenVBand="0" w:oddHBand="0" w:evenHBand="1" w:firstRowFirstColumn="0" w:firstRowLastColumn="0" w:lastRowFirstColumn="0" w:lastRowLastColumn="0"/>
              <w:rPr>
                <w:color w:val="auto"/>
              </w:rPr>
            </w:pPr>
            <w:r w:rsidRPr="00D076AD">
              <w:rPr>
                <w:color w:val="auto"/>
              </w:rPr>
              <w:t>Phased response plan to a previous pandemic</w:t>
            </w:r>
          </w:p>
        </w:tc>
        <w:tc>
          <w:tcPr>
            <w:tcW w:w="4819" w:type="dxa"/>
            <w:shd w:val="clear" w:color="auto" w:fill="auto"/>
          </w:tcPr>
          <w:p w14:paraId="0377FA97" w14:textId="7ADCAF7B" w:rsidR="00110320" w:rsidRPr="00D076AD" w:rsidRDefault="00110320" w:rsidP="00110320">
            <w:pPr>
              <w:spacing w:after="0"/>
              <w:cnfStyle w:val="000000010000" w:firstRow="0" w:lastRow="0" w:firstColumn="0" w:lastColumn="0" w:oddVBand="0" w:evenVBand="0" w:oddHBand="0" w:evenHBand="1" w:firstRowFirstColumn="0" w:firstRowLastColumn="0" w:lastRowFirstColumn="0" w:lastRowLastColumn="0"/>
              <w:rPr>
                <w:color w:val="auto"/>
              </w:rPr>
            </w:pPr>
            <w:r w:rsidRPr="00D076AD">
              <w:rPr>
                <w:color w:val="auto"/>
              </w:rPr>
              <w:t xml:space="preserve">Appropriated to </w:t>
            </w:r>
            <w:r w:rsidR="005D53FD" w:rsidRPr="00D076AD">
              <w:rPr>
                <w:color w:val="auto"/>
              </w:rPr>
              <w:t xml:space="preserve">inform </w:t>
            </w:r>
            <w:r w:rsidRPr="00D076AD">
              <w:rPr>
                <w:color w:val="auto"/>
              </w:rPr>
              <w:t>the temporal risk elements of the framework</w:t>
            </w:r>
          </w:p>
        </w:tc>
      </w:tr>
      <w:tr w:rsidR="00D076AD" w:rsidRPr="00D076AD" w14:paraId="30DA5FC6" w14:textId="77777777" w:rsidTr="00D07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61684277" w14:textId="5A6BD5EB" w:rsidR="00110320" w:rsidRPr="00D076AD" w:rsidRDefault="00110320" w:rsidP="00110320">
            <w:pPr>
              <w:spacing w:after="0"/>
              <w:rPr>
                <w:color w:val="auto"/>
              </w:rPr>
            </w:pPr>
            <w:r w:rsidRPr="00D076AD">
              <w:rPr>
                <w:color w:val="auto"/>
              </w:rPr>
              <w:t>Madhav (2017)</w:t>
            </w:r>
          </w:p>
        </w:tc>
        <w:tc>
          <w:tcPr>
            <w:tcW w:w="2977" w:type="dxa"/>
            <w:shd w:val="clear" w:color="auto" w:fill="auto"/>
          </w:tcPr>
          <w:p w14:paraId="77CABD5F" w14:textId="6BE8D084" w:rsidR="00110320" w:rsidRPr="00D076AD" w:rsidRDefault="00D24F1F" w:rsidP="00110320">
            <w:pPr>
              <w:spacing w:after="0"/>
              <w:cnfStyle w:val="000000100000" w:firstRow="0" w:lastRow="0" w:firstColumn="0" w:lastColumn="0" w:oddVBand="0" w:evenVBand="0" w:oddHBand="1" w:evenHBand="0" w:firstRowFirstColumn="0" w:firstRowLastColumn="0" w:lastRowFirstColumn="0" w:lastRowLastColumn="0"/>
              <w:rPr>
                <w:color w:val="auto"/>
              </w:rPr>
            </w:pPr>
            <w:r w:rsidRPr="00D076AD">
              <w:rPr>
                <w:color w:val="auto"/>
              </w:rPr>
              <w:t>Pandemic Risk Factors</w:t>
            </w:r>
          </w:p>
        </w:tc>
        <w:tc>
          <w:tcPr>
            <w:tcW w:w="4819" w:type="dxa"/>
            <w:shd w:val="clear" w:color="auto" w:fill="auto"/>
          </w:tcPr>
          <w:p w14:paraId="37CFE62A" w14:textId="090C5B22" w:rsidR="00110320" w:rsidRPr="00D076AD" w:rsidRDefault="005D53FD" w:rsidP="00110320">
            <w:pPr>
              <w:spacing w:after="0"/>
              <w:cnfStyle w:val="000000100000" w:firstRow="0" w:lastRow="0" w:firstColumn="0" w:lastColumn="0" w:oddVBand="0" w:evenVBand="0" w:oddHBand="1" w:evenHBand="0" w:firstRowFirstColumn="0" w:firstRowLastColumn="0" w:lastRowFirstColumn="0" w:lastRowLastColumn="0"/>
              <w:rPr>
                <w:color w:val="auto"/>
              </w:rPr>
            </w:pPr>
            <w:r w:rsidRPr="00D076AD">
              <w:rPr>
                <w:color w:val="auto"/>
              </w:rPr>
              <w:t xml:space="preserve">Elements adopted - </w:t>
            </w:r>
            <w:r w:rsidR="00110320" w:rsidRPr="00D076AD">
              <w:rPr>
                <w:color w:val="auto"/>
              </w:rPr>
              <w:t>This framework considers an important distinction between two components of transmission, the “spark” which considers the illness arriving to the country, and the “spread” which considers transmission of the illness in country.</w:t>
            </w:r>
          </w:p>
        </w:tc>
      </w:tr>
    </w:tbl>
    <w:p w14:paraId="4EFAFDC0" w14:textId="4D84C8B1" w:rsidR="00824025" w:rsidRDefault="00824025" w:rsidP="00824025"/>
    <w:p w14:paraId="7A140657" w14:textId="39263913" w:rsidR="00110320" w:rsidRDefault="00110320" w:rsidP="00824025">
      <w:r>
        <w:t xml:space="preserve">Consideration of these frameworks resulted in the final framework shown in </w:t>
      </w:r>
      <w:r w:rsidR="00714472">
        <w:t>Figure 2</w:t>
      </w:r>
      <w:r w:rsidR="00417D1D">
        <w:t xml:space="preserve"> being adopted</w:t>
      </w:r>
      <w:r w:rsidR="00714472">
        <w:t>.</w:t>
      </w:r>
      <w:r w:rsidR="00DD3CEE">
        <w:t xml:space="preserve"> The framework has two sub</w:t>
      </w:r>
      <w:r w:rsidR="00417D1D">
        <w:t>-</w:t>
      </w:r>
      <w:r w:rsidR="00DD3CEE">
        <w:t>indices, likelihood, and consequence of an outbreak</w:t>
      </w:r>
      <w:r w:rsidR="00417D1D">
        <w:t>. In turn, these sub-indices are comprised of</w:t>
      </w:r>
      <w:r w:rsidR="00DD3CEE">
        <w:t xml:space="preserve"> three temporal risk elements appropriated from the </w:t>
      </w:r>
      <w:r w:rsidR="00DD3CEE" w:rsidRPr="00DD3CEE">
        <w:t xml:space="preserve">Australian Government H1N1 </w:t>
      </w:r>
      <w:r w:rsidR="00DD3CEE">
        <w:t>plan.</w:t>
      </w:r>
    </w:p>
    <w:p w14:paraId="309CD421" w14:textId="5529EC96" w:rsidR="00714472" w:rsidRDefault="00D24F1F" w:rsidP="00714472">
      <w:pPr>
        <w:keepNext/>
      </w:pPr>
      <w:r>
        <w:rPr>
          <w:noProof/>
        </w:rPr>
        <w:lastRenderedPageBreak/>
        <w:drawing>
          <wp:inline distT="0" distB="0" distL="0" distR="0" wp14:anchorId="23BCE3C2" wp14:editId="585A7D6A">
            <wp:extent cx="6784297" cy="2235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11592" cy="2244193"/>
                    </a:xfrm>
                    <a:prstGeom prst="rect">
                      <a:avLst/>
                    </a:prstGeom>
                    <a:noFill/>
                  </pic:spPr>
                </pic:pic>
              </a:graphicData>
            </a:graphic>
          </wp:inline>
        </w:drawing>
      </w:r>
    </w:p>
    <w:p w14:paraId="753434E4" w14:textId="230220B0" w:rsidR="00824025" w:rsidRDefault="00714472" w:rsidP="00714472">
      <w:pPr>
        <w:pStyle w:val="Caption"/>
      </w:pPr>
      <w:r>
        <w:t xml:space="preserve">Figure </w:t>
      </w:r>
      <w:r w:rsidR="00047BE6">
        <w:fldChar w:fldCharType="begin"/>
      </w:r>
      <w:r w:rsidR="00047BE6">
        <w:instrText xml:space="preserve"> SEQ Figure \* ARABIC </w:instrText>
      </w:r>
      <w:r w:rsidR="00047BE6">
        <w:fldChar w:fldCharType="separate"/>
      </w:r>
      <w:r w:rsidR="00453014">
        <w:rPr>
          <w:noProof/>
        </w:rPr>
        <w:t>2</w:t>
      </w:r>
      <w:r w:rsidR="00047BE6">
        <w:rPr>
          <w:noProof/>
        </w:rPr>
        <w:fldChar w:fldCharType="end"/>
      </w:r>
      <w:r>
        <w:t>. Proposed framework for the index</w:t>
      </w:r>
    </w:p>
    <w:p w14:paraId="5A1B51EB" w14:textId="6D522DDD" w:rsidR="00D13990" w:rsidRDefault="00D13990" w:rsidP="00D13990">
      <w:r>
        <w:t xml:space="preserve">Each of the temporal risk elements have been defined in table </w:t>
      </w:r>
      <w:r w:rsidR="00E35EE8">
        <w:t>2.</w:t>
      </w:r>
    </w:p>
    <w:p w14:paraId="57CA6C69" w14:textId="1B9CD9A2" w:rsidR="00E35EE8" w:rsidRDefault="00E35EE8" w:rsidP="00E35EE8">
      <w:pPr>
        <w:pStyle w:val="Caption"/>
        <w:keepNext/>
      </w:pPr>
      <w:r>
        <w:t xml:space="preserve">Table </w:t>
      </w:r>
      <w:r w:rsidR="00047BE6">
        <w:fldChar w:fldCharType="begin"/>
      </w:r>
      <w:r w:rsidR="00047BE6">
        <w:instrText xml:space="preserve"> SEQ Table \* ARABIC </w:instrText>
      </w:r>
      <w:r w:rsidR="00047BE6">
        <w:fldChar w:fldCharType="separate"/>
      </w:r>
      <w:r w:rsidR="00453014">
        <w:rPr>
          <w:noProof/>
        </w:rPr>
        <w:t>2</w:t>
      </w:r>
      <w:r w:rsidR="00047BE6">
        <w:rPr>
          <w:noProof/>
        </w:rPr>
        <w:fldChar w:fldCharType="end"/>
      </w:r>
      <w:r>
        <w:t>. Description of the temporal risk elements</w:t>
      </w:r>
    </w:p>
    <w:tbl>
      <w:tblPr>
        <w:tblStyle w:val="PlainTable1"/>
        <w:tblW w:w="9402" w:type="dxa"/>
        <w:tblLook w:val="04A0" w:firstRow="1" w:lastRow="0" w:firstColumn="1" w:lastColumn="0" w:noHBand="0" w:noVBand="1"/>
      </w:tblPr>
      <w:tblGrid>
        <w:gridCol w:w="2830"/>
        <w:gridCol w:w="6572"/>
      </w:tblGrid>
      <w:tr w:rsidR="00D076AD" w:rsidRPr="00D076AD" w14:paraId="2F381E18" w14:textId="77777777" w:rsidTr="00D07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30C38761" w14:textId="7B4D57CA" w:rsidR="00D13990" w:rsidRPr="00D076AD" w:rsidRDefault="00D13990" w:rsidP="0006253D">
            <w:pPr>
              <w:spacing w:after="0"/>
              <w:rPr>
                <w:color w:val="auto"/>
                <w:szCs w:val="16"/>
              </w:rPr>
            </w:pPr>
            <w:r w:rsidRPr="00D076AD">
              <w:rPr>
                <w:color w:val="auto"/>
                <w:szCs w:val="16"/>
              </w:rPr>
              <w:t>Temporal risk element</w:t>
            </w:r>
          </w:p>
        </w:tc>
        <w:tc>
          <w:tcPr>
            <w:tcW w:w="6572" w:type="dxa"/>
            <w:shd w:val="clear" w:color="auto" w:fill="auto"/>
          </w:tcPr>
          <w:p w14:paraId="582D5041" w14:textId="77777777" w:rsidR="00D13990" w:rsidRPr="00D076AD" w:rsidRDefault="00D13990" w:rsidP="0006253D">
            <w:pPr>
              <w:spacing w:after="0"/>
              <w:cnfStyle w:val="100000000000" w:firstRow="1" w:lastRow="0" w:firstColumn="0" w:lastColumn="0" w:oddVBand="0" w:evenVBand="0" w:oddHBand="0" w:evenHBand="0" w:firstRowFirstColumn="0" w:firstRowLastColumn="0" w:lastRowFirstColumn="0" w:lastRowLastColumn="0"/>
              <w:rPr>
                <w:color w:val="auto"/>
                <w:szCs w:val="16"/>
              </w:rPr>
            </w:pPr>
            <w:r w:rsidRPr="00D076AD">
              <w:rPr>
                <w:color w:val="auto"/>
                <w:szCs w:val="16"/>
              </w:rPr>
              <w:t>Description</w:t>
            </w:r>
          </w:p>
        </w:tc>
      </w:tr>
      <w:tr w:rsidR="00D076AD" w:rsidRPr="00D076AD" w14:paraId="77D44AB9" w14:textId="77777777" w:rsidTr="00D07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16E7514B" w14:textId="66506CC8" w:rsidR="00D13990" w:rsidRPr="00D076AD" w:rsidRDefault="00D13990" w:rsidP="0006253D">
            <w:pPr>
              <w:spacing w:after="0"/>
              <w:rPr>
                <w:color w:val="auto"/>
              </w:rPr>
            </w:pPr>
            <w:r w:rsidRPr="00D076AD">
              <w:rPr>
                <w:color w:val="auto"/>
              </w:rPr>
              <w:t>Ability to stay alert</w:t>
            </w:r>
          </w:p>
        </w:tc>
        <w:tc>
          <w:tcPr>
            <w:tcW w:w="6572" w:type="dxa"/>
            <w:shd w:val="clear" w:color="auto" w:fill="auto"/>
          </w:tcPr>
          <w:p w14:paraId="4326642A" w14:textId="7BB6F95F" w:rsidR="00D13990" w:rsidRPr="00D076AD" w:rsidRDefault="00D13990" w:rsidP="0006253D">
            <w:pPr>
              <w:spacing w:after="0"/>
              <w:cnfStyle w:val="000000100000" w:firstRow="0" w:lastRow="0" w:firstColumn="0" w:lastColumn="0" w:oddVBand="0" w:evenVBand="0" w:oddHBand="1" w:evenHBand="0" w:firstRowFirstColumn="0" w:firstRowLastColumn="0" w:lastRowFirstColumn="0" w:lastRowLastColumn="0"/>
              <w:rPr>
                <w:color w:val="auto"/>
              </w:rPr>
            </w:pPr>
            <w:r w:rsidRPr="00D076AD">
              <w:rPr>
                <w:color w:val="auto"/>
              </w:rPr>
              <w:t xml:space="preserve">A </w:t>
            </w:r>
            <w:r w:rsidR="00E35EE8" w:rsidRPr="00D076AD">
              <w:rPr>
                <w:color w:val="auto"/>
              </w:rPr>
              <w:t xml:space="preserve">country’s </w:t>
            </w:r>
            <w:r w:rsidRPr="00D076AD">
              <w:rPr>
                <w:color w:val="auto"/>
              </w:rPr>
              <w:t>ability to stay alert</w:t>
            </w:r>
            <w:r w:rsidR="00E35EE8" w:rsidRPr="00D076AD">
              <w:rPr>
                <w:color w:val="auto"/>
              </w:rPr>
              <w:t xml:space="preserve"> to potential pandemics in other countries</w:t>
            </w:r>
          </w:p>
        </w:tc>
      </w:tr>
      <w:tr w:rsidR="00D076AD" w:rsidRPr="00D076AD" w14:paraId="395AE061" w14:textId="77777777" w:rsidTr="00D076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264389A7" w14:textId="76091139" w:rsidR="00D13990" w:rsidRPr="00D076AD" w:rsidRDefault="00D13990" w:rsidP="0006253D">
            <w:pPr>
              <w:spacing w:after="0"/>
              <w:rPr>
                <w:color w:val="auto"/>
              </w:rPr>
            </w:pPr>
            <w:r w:rsidRPr="00D076AD">
              <w:rPr>
                <w:color w:val="auto"/>
              </w:rPr>
              <w:t>Ability to delay the spark</w:t>
            </w:r>
          </w:p>
        </w:tc>
        <w:tc>
          <w:tcPr>
            <w:tcW w:w="6572" w:type="dxa"/>
            <w:shd w:val="clear" w:color="auto" w:fill="auto"/>
          </w:tcPr>
          <w:p w14:paraId="08049B9F" w14:textId="1EDC2DB2" w:rsidR="00D13990" w:rsidRPr="00D076AD" w:rsidRDefault="00E35EE8" w:rsidP="0006253D">
            <w:pPr>
              <w:spacing w:after="0"/>
              <w:cnfStyle w:val="000000010000" w:firstRow="0" w:lastRow="0" w:firstColumn="0" w:lastColumn="0" w:oddVBand="0" w:evenVBand="0" w:oddHBand="0" w:evenHBand="1" w:firstRowFirstColumn="0" w:firstRowLastColumn="0" w:lastRowFirstColumn="0" w:lastRowLastColumn="0"/>
              <w:rPr>
                <w:color w:val="auto"/>
              </w:rPr>
            </w:pPr>
            <w:r w:rsidRPr="00D076AD">
              <w:rPr>
                <w:color w:val="auto"/>
              </w:rPr>
              <w:t>A country’s ability to delay a pandemic arriving or “sparking” in the country</w:t>
            </w:r>
          </w:p>
        </w:tc>
      </w:tr>
      <w:tr w:rsidR="00D076AD" w:rsidRPr="00D076AD" w14:paraId="589A9D6C" w14:textId="77777777" w:rsidTr="00D07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6E5EAC5F" w14:textId="6861F0B1" w:rsidR="00D13990" w:rsidRPr="00D076AD" w:rsidRDefault="00D13990" w:rsidP="0006253D">
            <w:pPr>
              <w:spacing w:after="0"/>
              <w:rPr>
                <w:color w:val="auto"/>
              </w:rPr>
            </w:pPr>
            <w:r w:rsidRPr="00D076AD">
              <w:rPr>
                <w:color w:val="auto"/>
              </w:rPr>
              <w:t>Ability to contain the spread</w:t>
            </w:r>
          </w:p>
        </w:tc>
        <w:tc>
          <w:tcPr>
            <w:tcW w:w="6572" w:type="dxa"/>
            <w:shd w:val="clear" w:color="auto" w:fill="auto"/>
          </w:tcPr>
          <w:p w14:paraId="4107AF20" w14:textId="4B57530B" w:rsidR="00D13990" w:rsidRPr="00D076AD" w:rsidRDefault="00E35EE8" w:rsidP="0006253D">
            <w:pPr>
              <w:spacing w:after="0"/>
              <w:cnfStyle w:val="000000100000" w:firstRow="0" w:lastRow="0" w:firstColumn="0" w:lastColumn="0" w:oddVBand="0" w:evenVBand="0" w:oddHBand="1" w:evenHBand="0" w:firstRowFirstColumn="0" w:firstRowLastColumn="0" w:lastRowFirstColumn="0" w:lastRowLastColumn="0"/>
              <w:rPr>
                <w:color w:val="auto"/>
              </w:rPr>
            </w:pPr>
            <w:r w:rsidRPr="00D076AD">
              <w:rPr>
                <w:color w:val="auto"/>
              </w:rPr>
              <w:t>A country’s ability to contain the “spread” of a pandemic and the ability to sustain those containment measures</w:t>
            </w:r>
            <w:r w:rsidR="00A3677F" w:rsidRPr="00D076AD">
              <w:rPr>
                <w:color w:val="auto"/>
              </w:rPr>
              <w:t>,</w:t>
            </w:r>
            <w:r w:rsidRPr="00D076AD">
              <w:rPr>
                <w:color w:val="auto"/>
              </w:rPr>
              <w:t xml:space="preserve"> once it has arrived in country</w:t>
            </w:r>
          </w:p>
        </w:tc>
      </w:tr>
      <w:tr w:rsidR="00D076AD" w:rsidRPr="00D076AD" w14:paraId="54C1F140" w14:textId="77777777" w:rsidTr="00D076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3E961F1D" w14:textId="64406C32" w:rsidR="00D13990" w:rsidRPr="00D076AD" w:rsidRDefault="00D13990" w:rsidP="0006253D">
            <w:pPr>
              <w:spacing w:after="0"/>
              <w:rPr>
                <w:color w:val="auto"/>
              </w:rPr>
            </w:pPr>
            <w:r w:rsidRPr="00D076AD">
              <w:rPr>
                <w:color w:val="auto"/>
              </w:rPr>
              <w:t>Ability to treat those infected</w:t>
            </w:r>
          </w:p>
        </w:tc>
        <w:tc>
          <w:tcPr>
            <w:tcW w:w="6572" w:type="dxa"/>
            <w:shd w:val="clear" w:color="auto" w:fill="auto"/>
          </w:tcPr>
          <w:p w14:paraId="20345E13" w14:textId="44B19E8B" w:rsidR="00D13990" w:rsidRPr="00D076AD" w:rsidRDefault="00E35EE8" w:rsidP="0006253D">
            <w:pPr>
              <w:spacing w:after="0"/>
              <w:cnfStyle w:val="000000010000" w:firstRow="0" w:lastRow="0" w:firstColumn="0" w:lastColumn="0" w:oddVBand="0" w:evenVBand="0" w:oddHBand="0" w:evenHBand="1" w:firstRowFirstColumn="0" w:firstRowLastColumn="0" w:lastRowFirstColumn="0" w:lastRowLastColumn="0"/>
              <w:rPr>
                <w:color w:val="auto"/>
              </w:rPr>
            </w:pPr>
            <w:r w:rsidRPr="00D076AD">
              <w:rPr>
                <w:color w:val="auto"/>
              </w:rPr>
              <w:t xml:space="preserve">A country’s ability to treat those </w:t>
            </w:r>
            <w:r w:rsidR="001A1094" w:rsidRPr="00D076AD">
              <w:rPr>
                <w:color w:val="auto"/>
              </w:rPr>
              <w:t xml:space="preserve">who </w:t>
            </w:r>
            <w:r w:rsidRPr="00D076AD">
              <w:rPr>
                <w:color w:val="auto"/>
              </w:rPr>
              <w:t xml:space="preserve">have been infected. This </w:t>
            </w:r>
            <w:r w:rsidR="00D24F1F" w:rsidRPr="00D076AD">
              <w:rPr>
                <w:color w:val="auto"/>
              </w:rPr>
              <w:t xml:space="preserve">also </w:t>
            </w:r>
            <w:r w:rsidRPr="00D076AD">
              <w:rPr>
                <w:color w:val="auto"/>
              </w:rPr>
              <w:t xml:space="preserve">includes </w:t>
            </w:r>
            <w:r w:rsidR="001A1094" w:rsidRPr="00D076AD">
              <w:rPr>
                <w:color w:val="auto"/>
              </w:rPr>
              <w:t xml:space="preserve">the prevalence of </w:t>
            </w:r>
            <w:r w:rsidRPr="00D076AD">
              <w:rPr>
                <w:color w:val="auto"/>
              </w:rPr>
              <w:t>co</w:t>
            </w:r>
            <w:r w:rsidR="001A1094" w:rsidRPr="00D076AD">
              <w:rPr>
                <w:color w:val="auto"/>
              </w:rPr>
              <w:t>-</w:t>
            </w:r>
            <w:r w:rsidRPr="00D076AD">
              <w:rPr>
                <w:color w:val="auto"/>
              </w:rPr>
              <w:t xml:space="preserve">morbidities </w:t>
            </w:r>
            <w:r w:rsidR="001A1094" w:rsidRPr="00D076AD">
              <w:rPr>
                <w:color w:val="auto"/>
              </w:rPr>
              <w:t xml:space="preserve">within the country </w:t>
            </w:r>
            <w:r w:rsidRPr="00D076AD">
              <w:rPr>
                <w:color w:val="auto"/>
              </w:rPr>
              <w:t xml:space="preserve">that </w:t>
            </w:r>
            <w:r w:rsidR="001A1094" w:rsidRPr="00D076AD">
              <w:rPr>
                <w:color w:val="auto"/>
              </w:rPr>
              <w:t xml:space="preserve">influence disease outcomes </w:t>
            </w:r>
          </w:p>
        </w:tc>
      </w:tr>
      <w:tr w:rsidR="00D076AD" w:rsidRPr="00D076AD" w14:paraId="64FB0E95" w14:textId="77777777" w:rsidTr="00D07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2F51176B" w14:textId="3BF737C7" w:rsidR="00D13990" w:rsidRPr="00D076AD" w:rsidRDefault="00D13990" w:rsidP="0006253D">
            <w:pPr>
              <w:spacing w:after="0"/>
              <w:rPr>
                <w:color w:val="auto"/>
              </w:rPr>
            </w:pPr>
            <w:r w:rsidRPr="00D076AD">
              <w:rPr>
                <w:color w:val="auto"/>
              </w:rPr>
              <w:t xml:space="preserve">Ability to </w:t>
            </w:r>
            <w:r w:rsidR="00883473" w:rsidRPr="00D076AD">
              <w:rPr>
                <w:color w:val="auto"/>
              </w:rPr>
              <w:t>immunise</w:t>
            </w:r>
          </w:p>
        </w:tc>
        <w:tc>
          <w:tcPr>
            <w:tcW w:w="6572" w:type="dxa"/>
            <w:shd w:val="clear" w:color="auto" w:fill="auto"/>
          </w:tcPr>
          <w:p w14:paraId="54FC1E50" w14:textId="7A174966" w:rsidR="00D13990" w:rsidRPr="00D076AD" w:rsidRDefault="00E35EE8" w:rsidP="0006253D">
            <w:pPr>
              <w:spacing w:after="0"/>
              <w:cnfStyle w:val="000000100000" w:firstRow="0" w:lastRow="0" w:firstColumn="0" w:lastColumn="0" w:oddVBand="0" w:evenVBand="0" w:oddHBand="1" w:evenHBand="0" w:firstRowFirstColumn="0" w:firstRowLastColumn="0" w:lastRowFirstColumn="0" w:lastRowLastColumn="0"/>
              <w:rPr>
                <w:color w:val="auto"/>
              </w:rPr>
            </w:pPr>
            <w:r w:rsidRPr="00D076AD">
              <w:rPr>
                <w:color w:val="auto"/>
              </w:rPr>
              <w:t>A countr</w:t>
            </w:r>
            <w:r w:rsidR="001A1094" w:rsidRPr="00D076AD">
              <w:rPr>
                <w:color w:val="auto"/>
              </w:rPr>
              <w:t>y’s</w:t>
            </w:r>
            <w:r w:rsidRPr="00D076AD">
              <w:rPr>
                <w:color w:val="auto"/>
              </w:rPr>
              <w:t xml:space="preserve"> ability to control the pandemic </w:t>
            </w:r>
            <w:r w:rsidR="001A1094" w:rsidRPr="00D076AD">
              <w:rPr>
                <w:color w:val="auto"/>
              </w:rPr>
              <w:t xml:space="preserve">through </w:t>
            </w:r>
            <w:r w:rsidRPr="00D076AD">
              <w:rPr>
                <w:color w:val="auto"/>
              </w:rPr>
              <w:t xml:space="preserve">community </w:t>
            </w:r>
            <w:r w:rsidR="001A1094" w:rsidRPr="00D076AD">
              <w:rPr>
                <w:color w:val="auto"/>
              </w:rPr>
              <w:t xml:space="preserve">(herd) </w:t>
            </w:r>
            <w:r w:rsidRPr="00D076AD">
              <w:rPr>
                <w:color w:val="auto"/>
              </w:rPr>
              <w:t>immunity</w:t>
            </w:r>
          </w:p>
        </w:tc>
      </w:tr>
      <w:tr w:rsidR="00D076AD" w:rsidRPr="00D076AD" w14:paraId="17F18E57" w14:textId="77777777" w:rsidTr="00D076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301743EE" w14:textId="6B027827" w:rsidR="00D13990" w:rsidRPr="00D076AD" w:rsidRDefault="00D13990" w:rsidP="0006253D">
            <w:pPr>
              <w:spacing w:after="0"/>
              <w:rPr>
                <w:color w:val="auto"/>
              </w:rPr>
            </w:pPr>
            <w:r w:rsidRPr="00D076AD">
              <w:rPr>
                <w:color w:val="auto"/>
              </w:rPr>
              <w:t>Ability to recover</w:t>
            </w:r>
          </w:p>
        </w:tc>
        <w:tc>
          <w:tcPr>
            <w:tcW w:w="6572" w:type="dxa"/>
            <w:shd w:val="clear" w:color="auto" w:fill="auto"/>
          </w:tcPr>
          <w:p w14:paraId="0795C6A0" w14:textId="29DF3EA9" w:rsidR="00D13990" w:rsidRPr="00D076AD" w:rsidRDefault="00E35EE8" w:rsidP="0006253D">
            <w:pPr>
              <w:spacing w:after="0"/>
              <w:cnfStyle w:val="000000010000" w:firstRow="0" w:lastRow="0" w:firstColumn="0" w:lastColumn="0" w:oddVBand="0" w:evenVBand="0" w:oddHBand="0" w:evenHBand="1" w:firstRowFirstColumn="0" w:firstRowLastColumn="0" w:lastRowFirstColumn="0" w:lastRowLastColumn="0"/>
              <w:rPr>
                <w:color w:val="auto"/>
              </w:rPr>
            </w:pPr>
            <w:r w:rsidRPr="00D076AD">
              <w:rPr>
                <w:color w:val="auto"/>
              </w:rPr>
              <w:t>A countr</w:t>
            </w:r>
            <w:r w:rsidR="001A1094" w:rsidRPr="00D076AD">
              <w:rPr>
                <w:color w:val="auto"/>
              </w:rPr>
              <w:t>y’s</w:t>
            </w:r>
            <w:r w:rsidRPr="00D076AD">
              <w:rPr>
                <w:color w:val="auto"/>
              </w:rPr>
              <w:t xml:space="preserve"> ability to recover from the pandemic, including economic recovery</w:t>
            </w:r>
          </w:p>
        </w:tc>
      </w:tr>
    </w:tbl>
    <w:p w14:paraId="62CE767F" w14:textId="77777777" w:rsidR="00D13990" w:rsidRPr="00D13990" w:rsidRDefault="00D13990" w:rsidP="00D13990"/>
    <w:p w14:paraId="2026A9DE" w14:textId="54FC9727" w:rsidR="00110320" w:rsidRDefault="00110320" w:rsidP="006172B9">
      <w:pPr>
        <w:pStyle w:val="Heading2"/>
        <w:numPr>
          <w:ilvl w:val="0"/>
          <w:numId w:val="29"/>
        </w:numPr>
        <w:spacing w:after="0"/>
      </w:pPr>
      <w:r>
        <w:t xml:space="preserve">Identifying </w:t>
      </w:r>
      <w:r w:rsidR="004D0271">
        <w:t xml:space="preserve">relevant </w:t>
      </w:r>
      <w:r>
        <w:t>factors</w:t>
      </w:r>
      <w:r w:rsidR="004D0271">
        <w:t xml:space="preserve"> and metrics</w:t>
      </w:r>
    </w:p>
    <w:p w14:paraId="462C5FB9" w14:textId="225D7771" w:rsidR="00110320" w:rsidRDefault="00110320" w:rsidP="00110320">
      <w:r>
        <w:t xml:space="preserve">To identify </w:t>
      </w:r>
      <w:r w:rsidR="000955E7">
        <w:t xml:space="preserve">key </w:t>
      </w:r>
      <w:r>
        <w:t>factors relevant</w:t>
      </w:r>
      <w:r w:rsidR="000955E7">
        <w:t xml:space="preserve"> to assessing the impact of a COVID-19 pandemic</w:t>
      </w:r>
      <w:r>
        <w:t xml:space="preserve">, a large truth table was produced to </w:t>
      </w:r>
      <w:r w:rsidR="00C56E74">
        <w:t xml:space="preserve">ensure a wide sweep of potential factors was </w:t>
      </w:r>
      <w:r w:rsidR="000955E7">
        <w:t>considered</w:t>
      </w:r>
      <w:r w:rsidR="00C56E74">
        <w:t xml:space="preserve">. Factors were </w:t>
      </w:r>
      <w:r w:rsidR="009F2CEE">
        <w:t xml:space="preserve">initially </w:t>
      </w:r>
      <w:r w:rsidR="00C56E74">
        <w:t xml:space="preserve">categorised </w:t>
      </w:r>
      <w:r w:rsidR="00D13990">
        <w:t>into</w:t>
      </w:r>
      <w:r w:rsidR="00C56E74">
        <w:t xml:space="preserve"> domain</w:t>
      </w:r>
      <w:r w:rsidR="00D13990">
        <w:t>s</w:t>
      </w:r>
      <w:r w:rsidR="000955E7">
        <w:t xml:space="preserve"> </w:t>
      </w:r>
      <w:r w:rsidR="00DD3CEE">
        <w:t xml:space="preserve">appropriated from </w:t>
      </w:r>
      <w:r w:rsidR="00C80DF0">
        <w:t>the RAND (2016) framework</w:t>
      </w:r>
      <w:r w:rsidR="00714472">
        <w:t xml:space="preserve"> </w:t>
      </w:r>
      <w:r w:rsidR="00D13990">
        <w:t xml:space="preserve">(Demographics, </w:t>
      </w:r>
      <w:r w:rsidR="00D24F1F">
        <w:t xml:space="preserve">Health Care, </w:t>
      </w:r>
      <w:r w:rsidR="00D13990">
        <w:t>Public Health</w:t>
      </w:r>
      <w:r w:rsidR="00D24F1F">
        <w:t>, Economic, Diseases Dynamics, and Political</w:t>
      </w:r>
      <w:r w:rsidR="00D13990">
        <w:t>)</w:t>
      </w:r>
      <w:r w:rsidR="00C56E74">
        <w:t xml:space="preserve">. </w:t>
      </w:r>
    </w:p>
    <w:p w14:paraId="149C0C8A" w14:textId="3A251568" w:rsidR="00C33823" w:rsidRDefault="00C33823" w:rsidP="00110320">
      <w:r>
        <w:t xml:space="preserve">The truth table was </w:t>
      </w:r>
      <w:r w:rsidR="000955E7">
        <w:t xml:space="preserve">further </w:t>
      </w:r>
      <w:r>
        <w:t>informed by the literature</w:t>
      </w:r>
      <w:r w:rsidR="000955E7">
        <w:t xml:space="preserve"> to include</w:t>
      </w:r>
      <w:r>
        <w:t>.</w:t>
      </w:r>
    </w:p>
    <w:p w14:paraId="5B8D5C43" w14:textId="1E5AF45E" w:rsidR="00C33823" w:rsidRDefault="00C33823" w:rsidP="00C33823">
      <w:pPr>
        <w:pStyle w:val="ListParagraph"/>
        <w:numPr>
          <w:ilvl w:val="0"/>
          <w:numId w:val="19"/>
        </w:numPr>
      </w:pPr>
      <w:r>
        <w:t xml:space="preserve">The relevant sections of AWDO, all five </w:t>
      </w:r>
      <w:r w:rsidR="00D13990">
        <w:t>Key Dimensions</w:t>
      </w:r>
      <w:r>
        <w:t xml:space="preserve"> </w:t>
      </w:r>
    </w:p>
    <w:p w14:paraId="3FC8BAFE" w14:textId="76BBF3DA" w:rsidR="00C33823" w:rsidRDefault="00C33823" w:rsidP="00110320">
      <w:pPr>
        <w:pStyle w:val="ListParagraph"/>
        <w:numPr>
          <w:ilvl w:val="0"/>
          <w:numId w:val="19"/>
        </w:numPr>
      </w:pPr>
      <w:r>
        <w:t xml:space="preserve">Health related indexes or frameworks </w:t>
      </w:r>
    </w:p>
    <w:p w14:paraId="1034B7D3" w14:textId="6D2328E1" w:rsidR="00C33823" w:rsidRDefault="00C33823" w:rsidP="00C33823">
      <w:pPr>
        <w:pStyle w:val="ListParagraph"/>
        <w:numPr>
          <w:ilvl w:val="1"/>
          <w:numId w:val="19"/>
        </w:numPr>
      </w:pPr>
      <w:r w:rsidRPr="00C33823">
        <w:lastRenderedPageBreak/>
        <w:t>Infectious Disease Vulnerability Index</w:t>
      </w:r>
      <w:r>
        <w:t xml:space="preserve"> (</w:t>
      </w:r>
      <w:r w:rsidR="00E36F36" w:rsidRPr="00C33823">
        <w:t>RAND</w:t>
      </w:r>
      <w:r w:rsidR="00E36F36">
        <w:t>,</w:t>
      </w:r>
      <w:r w:rsidR="00E36F36" w:rsidRPr="00C33823">
        <w:t xml:space="preserve"> </w:t>
      </w:r>
      <w:r>
        <w:t>2016)</w:t>
      </w:r>
    </w:p>
    <w:p w14:paraId="5306BD4D" w14:textId="78E42ACF" w:rsidR="00C33823" w:rsidRDefault="00C33823" w:rsidP="00C33823">
      <w:pPr>
        <w:pStyle w:val="ListParagraph"/>
        <w:numPr>
          <w:ilvl w:val="1"/>
          <w:numId w:val="19"/>
        </w:numPr>
      </w:pPr>
      <w:r w:rsidRPr="00C33823">
        <w:t>Epidemic Preparedness Index</w:t>
      </w:r>
      <w:r>
        <w:t xml:space="preserve"> (</w:t>
      </w:r>
      <w:r w:rsidR="00E36F36" w:rsidRPr="00C33823">
        <w:t>Oppenheim</w:t>
      </w:r>
      <w:r w:rsidR="00E36F36">
        <w:t>,</w:t>
      </w:r>
      <w:r w:rsidR="00E36F36" w:rsidRPr="00C33823">
        <w:t xml:space="preserve"> </w:t>
      </w:r>
      <w:r>
        <w:t>2019)</w:t>
      </w:r>
    </w:p>
    <w:p w14:paraId="79ADA36A" w14:textId="796AC708" w:rsidR="00C33823" w:rsidRDefault="00C33823" w:rsidP="00C33823">
      <w:pPr>
        <w:pStyle w:val="ListParagraph"/>
        <w:numPr>
          <w:ilvl w:val="1"/>
          <w:numId w:val="19"/>
        </w:numPr>
      </w:pPr>
      <w:r w:rsidRPr="00C33823">
        <w:t>WHO IHR Monitoring &amp; Evaluation</w:t>
      </w:r>
      <w:r>
        <w:t xml:space="preserve"> (</w:t>
      </w:r>
      <w:proofErr w:type="gramStart"/>
      <w:r>
        <w:t>2005)</w:t>
      </w:r>
      <w:proofErr w:type="gramEnd"/>
    </w:p>
    <w:p w14:paraId="4330C318" w14:textId="3480E8E0" w:rsidR="00C33823" w:rsidRDefault="00E36F36" w:rsidP="00C33823">
      <w:pPr>
        <w:pStyle w:val="ListParagraph"/>
        <w:numPr>
          <w:ilvl w:val="1"/>
          <w:numId w:val="19"/>
        </w:numPr>
      </w:pPr>
      <w:r>
        <w:t>F</w:t>
      </w:r>
      <w:r w:rsidR="00C33823" w:rsidRPr="00C33823">
        <w:t xml:space="preserve">actors that impacted H1N1 mortality </w:t>
      </w:r>
      <w:r w:rsidR="00C33823">
        <w:t>(</w:t>
      </w:r>
      <w:r w:rsidRPr="00C33823">
        <w:t>Morales</w:t>
      </w:r>
      <w:r>
        <w:t xml:space="preserve">, </w:t>
      </w:r>
      <w:r w:rsidR="00C33823">
        <w:t>2017)</w:t>
      </w:r>
    </w:p>
    <w:p w14:paraId="0D37F3B9" w14:textId="247A6375" w:rsidR="00C33823" w:rsidRDefault="00C33823" w:rsidP="00C33823">
      <w:pPr>
        <w:pStyle w:val="ListParagraph"/>
        <w:numPr>
          <w:ilvl w:val="1"/>
          <w:numId w:val="19"/>
        </w:numPr>
      </w:pPr>
      <w:r w:rsidRPr="00C33823">
        <w:t>UNDP Global preparedness and vulnerability dashboards</w:t>
      </w:r>
      <w:r>
        <w:t xml:space="preserve"> (</w:t>
      </w:r>
      <w:r w:rsidR="00E36F36">
        <w:t xml:space="preserve">UNDP, </w:t>
      </w:r>
      <w:r>
        <w:t>2020)</w:t>
      </w:r>
    </w:p>
    <w:p w14:paraId="44DBF476" w14:textId="0A926A4B" w:rsidR="00C33823" w:rsidRDefault="00C33823" w:rsidP="00C33823">
      <w:pPr>
        <w:pStyle w:val="ListParagraph"/>
        <w:numPr>
          <w:ilvl w:val="0"/>
          <w:numId w:val="19"/>
        </w:numPr>
      </w:pPr>
      <w:r>
        <w:t>Other related literature</w:t>
      </w:r>
    </w:p>
    <w:p w14:paraId="286C1F53" w14:textId="4C3F16FF" w:rsidR="00C33823" w:rsidRDefault="00E36F36" w:rsidP="00C33823">
      <w:pPr>
        <w:pStyle w:val="ListParagraph"/>
        <w:numPr>
          <w:ilvl w:val="1"/>
          <w:numId w:val="19"/>
        </w:numPr>
      </w:pPr>
      <w:r>
        <w:t>Coronavirus disease 2019 (Covid-19) in the EU/EEA and the UK – 9</w:t>
      </w:r>
      <w:r w:rsidRPr="00D13990">
        <w:rPr>
          <w:vertAlign w:val="superscript"/>
        </w:rPr>
        <w:t>th</w:t>
      </w:r>
      <w:r>
        <w:t xml:space="preserve"> update</w:t>
      </w:r>
      <w:r w:rsidR="00370620">
        <w:t xml:space="preserve"> </w:t>
      </w:r>
      <w:r w:rsidR="00C33823" w:rsidRPr="00C33823">
        <w:t>(Rapid Risk assessment)</w:t>
      </w:r>
      <w:r w:rsidR="00C33823">
        <w:t xml:space="preserve"> (</w:t>
      </w:r>
      <w:r w:rsidR="00370620">
        <w:t>European Centre for Disease prevention and Control</w:t>
      </w:r>
      <w:r w:rsidR="000C63C0">
        <w:t>,</w:t>
      </w:r>
      <w:r w:rsidR="00370620">
        <w:t xml:space="preserve"> </w:t>
      </w:r>
      <w:r w:rsidR="00C33823">
        <w:t>2020)</w:t>
      </w:r>
    </w:p>
    <w:p w14:paraId="213380E9" w14:textId="77119C2D" w:rsidR="00C33823" w:rsidRDefault="00C33823" w:rsidP="00C33823">
      <w:pPr>
        <w:pStyle w:val="ListParagraph"/>
        <w:numPr>
          <w:ilvl w:val="1"/>
          <w:numId w:val="19"/>
        </w:numPr>
      </w:pPr>
      <w:r>
        <w:t xml:space="preserve">Actions packages of the </w:t>
      </w:r>
      <w:r w:rsidRPr="00C33823">
        <w:t>Global Health Security Agenda</w:t>
      </w:r>
      <w:r>
        <w:t xml:space="preserve"> (2013)</w:t>
      </w:r>
    </w:p>
    <w:p w14:paraId="2190BB0E" w14:textId="1FAD977B" w:rsidR="00C33823" w:rsidRDefault="00C33823" w:rsidP="00C33823">
      <w:pPr>
        <w:pStyle w:val="ListParagraph"/>
        <w:numPr>
          <w:ilvl w:val="1"/>
          <w:numId w:val="19"/>
        </w:numPr>
      </w:pPr>
      <w:r>
        <w:t xml:space="preserve">Indicators of the </w:t>
      </w:r>
      <w:r w:rsidRPr="00C33823">
        <w:t>Morley Utility Resilience Index</w:t>
      </w:r>
      <w:r>
        <w:t xml:space="preserve"> (2012)</w:t>
      </w:r>
    </w:p>
    <w:p w14:paraId="16A9ECA6" w14:textId="02D9CCFA" w:rsidR="00C56E74" w:rsidRDefault="00C56E74" w:rsidP="006172B9">
      <w:pPr>
        <w:pStyle w:val="Heading2"/>
        <w:numPr>
          <w:ilvl w:val="0"/>
          <w:numId w:val="29"/>
        </w:numPr>
        <w:spacing w:after="0"/>
      </w:pPr>
      <w:r>
        <w:t xml:space="preserve">Categorising factors </w:t>
      </w:r>
      <w:r w:rsidR="00E029A6">
        <w:t xml:space="preserve">within the structure of </w:t>
      </w:r>
      <w:r>
        <w:t>the framework</w:t>
      </w:r>
    </w:p>
    <w:p w14:paraId="20490690" w14:textId="49B7E295" w:rsidR="00C56E74" w:rsidRDefault="00C56E74" w:rsidP="00C56E74">
      <w:r>
        <w:t xml:space="preserve">After </w:t>
      </w:r>
      <w:r w:rsidR="000E48EE">
        <w:t>being identified, the factors were re-categorized into the temporal risk elements and a brief rationale was given for including each factor within each category</w:t>
      </w:r>
      <w:r>
        <w:t xml:space="preserve">. </w:t>
      </w:r>
      <w:r w:rsidR="00370620">
        <w:t xml:space="preserve">Potential </w:t>
      </w:r>
      <w:r w:rsidR="00E35EE8">
        <w:t>m</w:t>
      </w:r>
      <w:r>
        <w:t xml:space="preserve">etrics </w:t>
      </w:r>
      <w:r w:rsidR="00370620">
        <w:t xml:space="preserve">that could be used to operationalise each factor </w:t>
      </w:r>
      <w:r>
        <w:t>were then sought</w:t>
      </w:r>
      <w:r w:rsidR="00370620">
        <w:t>. S</w:t>
      </w:r>
      <w:r w:rsidR="001105CF">
        <w:t>ome factors were associated with multiple metrics</w:t>
      </w:r>
      <w:r>
        <w:t xml:space="preserve">, </w:t>
      </w:r>
      <w:r w:rsidR="000E48EE">
        <w:t>while others had no suitable metrics or data available.</w:t>
      </w:r>
      <w:r>
        <w:t xml:space="preserve"> </w:t>
      </w:r>
    </w:p>
    <w:p w14:paraId="4E6E213A" w14:textId="16943DD9" w:rsidR="00C56E74" w:rsidRDefault="00C56E74" w:rsidP="00C56E74">
      <w:r>
        <w:t xml:space="preserve">It is important to note that </w:t>
      </w:r>
      <w:r w:rsidR="00370620">
        <w:t>i</w:t>
      </w:r>
      <w:r w:rsidR="00286923">
        <w:t xml:space="preserve">t </w:t>
      </w:r>
      <w:r w:rsidR="000E48EE">
        <w:t xml:space="preserve">was </w:t>
      </w:r>
      <w:r w:rsidR="00370620">
        <w:t xml:space="preserve">through scrutinising the full list of </w:t>
      </w:r>
      <w:r w:rsidR="000E48EE">
        <w:t xml:space="preserve">relevant </w:t>
      </w:r>
      <w:r w:rsidR="00370620">
        <w:t xml:space="preserve">factors, that those with varying degrees of water security relevance </w:t>
      </w:r>
      <w:r w:rsidR="000E48EE">
        <w:t xml:space="preserve">could </w:t>
      </w:r>
      <w:r w:rsidR="00370620">
        <w:t>be identified</w:t>
      </w:r>
      <w:r>
        <w:t xml:space="preserve">. </w:t>
      </w:r>
      <w:r w:rsidR="000E48EE">
        <w:t xml:space="preserve">First, </w:t>
      </w:r>
      <w:r w:rsidR="00286923">
        <w:t>all factors</w:t>
      </w:r>
      <w:r w:rsidR="000E48EE">
        <w:t xml:space="preserve"> with suitable data available, </w:t>
      </w:r>
      <w:r w:rsidR="00C30820">
        <w:t>have been</w:t>
      </w:r>
      <w:r w:rsidR="000E48EE">
        <w:t xml:space="preserve"> used</w:t>
      </w:r>
      <w:r w:rsidR="00C30820">
        <w:t xml:space="preserve"> </w:t>
      </w:r>
      <w:r w:rsidR="00286923">
        <w:t xml:space="preserve">to assess and rank each country’s overall </w:t>
      </w:r>
      <w:r w:rsidR="00481A68">
        <w:t>risk from</w:t>
      </w:r>
      <w:r w:rsidR="00286923">
        <w:t xml:space="preserve"> </w:t>
      </w:r>
      <w:r w:rsidR="00481A68">
        <w:t>COVID-</w:t>
      </w:r>
      <w:r w:rsidR="00286923">
        <w:t>19</w:t>
      </w:r>
      <w:r w:rsidR="00481A68">
        <w:t xml:space="preserve"> outbreaks</w:t>
      </w:r>
      <w:r w:rsidR="000E0DFA">
        <w:t xml:space="preserve">. </w:t>
      </w:r>
      <w:r w:rsidR="000E48EE">
        <w:t>Second</w:t>
      </w:r>
      <w:r w:rsidR="00C30820">
        <w:t>,</w:t>
      </w:r>
      <w:r w:rsidR="00286923">
        <w:t xml:space="preserve"> each factor’s </w:t>
      </w:r>
      <w:r w:rsidR="000E0DFA">
        <w:t xml:space="preserve">relative importance </w:t>
      </w:r>
      <w:r w:rsidR="000E48EE">
        <w:t>is evaluated alongside</w:t>
      </w:r>
      <w:r w:rsidR="000E0DFA">
        <w:t xml:space="preserve"> its temporal relevance in relation to an outbreak. </w:t>
      </w:r>
      <w:r w:rsidR="000E48EE">
        <w:t>Third, each county’s position in the table and the relative importance of water-related factors can be considered alongside</w:t>
      </w:r>
      <w:r w:rsidR="00C30820">
        <w:t xml:space="preserve"> </w:t>
      </w:r>
      <w:r w:rsidR="000E48EE">
        <w:t xml:space="preserve">other evaluation criteria (such as the capacity to address that factor, cost, acceptability of intervention, and time to influence outcome etc) </w:t>
      </w:r>
      <w:r w:rsidR="000E0DFA">
        <w:t xml:space="preserve">to prioritise water </w:t>
      </w:r>
      <w:r w:rsidR="00E35EE8">
        <w:t>interventions</w:t>
      </w:r>
      <w:r>
        <w:t>.</w:t>
      </w:r>
      <w:r w:rsidR="00DE5FCF">
        <w:t xml:space="preserve"> </w:t>
      </w:r>
    </w:p>
    <w:p w14:paraId="28B4C8F3" w14:textId="78993A28" w:rsidR="00DE5FCF" w:rsidRDefault="00DA4FA4" w:rsidP="006172B9">
      <w:pPr>
        <w:pStyle w:val="Heading2"/>
        <w:numPr>
          <w:ilvl w:val="0"/>
          <w:numId w:val="29"/>
        </w:numPr>
        <w:spacing w:after="0"/>
      </w:pPr>
      <w:r>
        <w:t>Calculating risk element scores</w:t>
      </w:r>
    </w:p>
    <w:p w14:paraId="3290DB78" w14:textId="55D96A76" w:rsidR="00DE5FCF" w:rsidRDefault="00DE5FCF" w:rsidP="00DE5FCF">
      <w:r>
        <w:t xml:space="preserve">Calculation methodologies from previous </w:t>
      </w:r>
      <w:r w:rsidR="00FF7F90">
        <w:t xml:space="preserve">frameworks and </w:t>
      </w:r>
      <w:r w:rsidR="00E35EE8">
        <w:t>indices</w:t>
      </w:r>
      <w:r>
        <w:t xml:space="preserve"> mentioned earlier have been considered in </w:t>
      </w:r>
      <w:r w:rsidR="00BD57C7">
        <w:t xml:space="preserve">formulating </w:t>
      </w:r>
      <w:r>
        <w:t xml:space="preserve">the calculations most appropriate for this index. </w:t>
      </w:r>
      <w:r w:rsidR="00BD57C7">
        <w:t xml:space="preserve">The </w:t>
      </w:r>
      <w:r w:rsidR="00DB1BD4">
        <w:t xml:space="preserve">calculations and weightings will be confirmed through sensitivity analysis and will follow the </w:t>
      </w:r>
      <w:r w:rsidR="00BD57C7">
        <w:t xml:space="preserve">principles </w:t>
      </w:r>
      <w:r w:rsidR="00DB1BD4">
        <w:t>of</w:t>
      </w:r>
      <w:r w:rsidR="00BD57C7">
        <w:t>:</w:t>
      </w:r>
    </w:p>
    <w:p w14:paraId="68BE2AB0" w14:textId="7E694103" w:rsidR="00DE5FCF" w:rsidRDefault="00017DAA" w:rsidP="00DE5FCF">
      <w:pPr>
        <w:pStyle w:val="ListParagraph"/>
        <w:numPr>
          <w:ilvl w:val="0"/>
          <w:numId w:val="17"/>
        </w:numPr>
      </w:pPr>
      <w:r>
        <w:t>M</w:t>
      </w:r>
      <w:r w:rsidR="00DE5FCF">
        <w:t xml:space="preserve">etrics </w:t>
      </w:r>
      <w:r w:rsidR="0026629D">
        <w:t xml:space="preserve">identified for each factor </w:t>
      </w:r>
      <w:r w:rsidR="00DE5FCF">
        <w:t xml:space="preserve">will be normalised from 0-1, with 0 being the “worst possible score”. </w:t>
      </w:r>
      <w:r>
        <w:t xml:space="preserve">The values for some </w:t>
      </w:r>
      <w:r w:rsidR="00DE5FCF">
        <w:t xml:space="preserve">metrics </w:t>
      </w:r>
      <w:r w:rsidR="000E48EE">
        <w:t>needed</w:t>
      </w:r>
      <w:r w:rsidR="00DE5FCF">
        <w:t xml:space="preserve"> to be </w:t>
      </w:r>
      <w:r>
        <w:t xml:space="preserve">recoded </w:t>
      </w:r>
      <w:r w:rsidR="00FF7F90">
        <w:t xml:space="preserve">so that the </w:t>
      </w:r>
      <w:r w:rsidR="00BD57C7">
        <w:t xml:space="preserve">worst case </w:t>
      </w:r>
      <w:r w:rsidR="000E48EE">
        <w:t xml:space="preserve">was </w:t>
      </w:r>
      <w:r w:rsidR="00BD57C7">
        <w:t xml:space="preserve">assigned </w:t>
      </w:r>
      <w:r>
        <w:t>the minimum score</w:t>
      </w:r>
      <w:r w:rsidR="005D7D61">
        <w:t>.</w:t>
      </w:r>
    </w:p>
    <w:p w14:paraId="55179622" w14:textId="5528DB14" w:rsidR="00017DAA" w:rsidRDefault="00017DAA" w:rsidP="00DE5FCF">
      <w:pPr>
        <w:pStyle w:val="ListParagraph"/>
        <w:numPr>
          <w:ilvl w:val="0"/>
          <w:numId w:val="17"/>
        </w:numPr>
      </w:pPr>
      <w:r>
        <w:t>Temporal risk element s</w:t>
      </w:r>
      <w:r w:rsidR="00BD57C7">
        <w:t>cores for e</w:t>
      </w:r>
      <w:r w:rsidR="00DE5FCF">
        <w:t xml:space="preserve">ach </w:t>
      </w:r>
      <w:r w:rsidR="00BD57C7">
        <w:t xml:space="preserve">of the six </w:t>
      </w:r>
      <w:r w:rsidR="00DE5FCF">
        <w:t>temporal risk element</w:t>
      </w:r>
      <w:r w:rsidR="00BD57C7">
        <w:t>s</w:t>
      </w:r>
      <w:r w:rsidR="00DE5FCF">
        <w:t xml:space="preserve"> </w:t>
      </w:r>
      <w:r w:rsidR="000E48EE">
        <w:t>were</w:t>
      </w:r>
      <w:r w:rsidR="00DE5FCF">
        <w:t xml:space="preserve"> calculated separately</w:t>
      </w:r>
      <w:r w:rsidR="00F355C9">
        <w:t xml:space="preserve"> (as shown in Equation</w:t>
      </w:r>
      <w:r w:rsidR="002D6A18">
        <w:t>s</w:t>
      </w:r>
      <w:r w:rsidR="00F355C9">
        <w:t xml:space="preserve"> 1</w:t>
      </w:r>
      <w:r w:rsidR="002D6A18">
        <w:t xml:space="preserve"> and 2</w:t>
      </w:r>
      <w:r w:rsidR="00F355C9">
        <w:t xml:space="preserve"> below)</w:t>
      </w:r>
      <w:r w:rsidR="005D7D61">
        <w:t>.</w:t>
      </w:r>
      <w:r w:rsidR="00DB1BD4">
        <w:t xml:space="preserve"> </w:t>
      </w:r>
      <w:r w:rsidR="00401027">
        <w:t>I</w:t>
      </w:r>
      <w:r w:rsidR="00DB1BD4">
        <w:t xml:space="preserve">t is important to present the risk elements as well as the </w:t>
      </w:r>
      <w:r w:rsidR="000E48EE">
        <w:t xml:space="preserve">overall </w:t>
      </w:r>
      <w:r w:rsidR="00DB1BD4">
        <w:t>index and sub-indices.</w:t>
      </w:r>
    </w:p>
    <w:p w14:paraId="27DB949C" w14:textId="5638197B" w:rsidR="00E35EE8" w:rsidRDefault="00E35EE8" w:rsidP="00E35EE8">
      <w:pPr>
        <w:pStyle w:val="ListParagraph"/>
        <w:numPr>
          <w:ilvl w:val="1"/>
          <w:numId w:val="17"/>
        </w:numPr>
      </w:pPr>
      <w:r>
        <w:lastRenderedPageBreak/>
        <w:t xml:space="preserve">Metrics will be categorised into key metrics and non-key metrics. Key metrics </w:t>
      </w:r>
      <w:r w:rsidR="000E48EE">
        <w:t>were</w:t>
      </w:r>
      <w:r>
        <w:t xml:space="preserve"> </w:t>
      </w:r>
      <w:r w:rsidR="000E48EE">
        <w:t xml:space="preserve">treated differently in the calculations </w:t>
      </w:r>
      <w:r w:rsidR="000607B9">
        <w:t>than non-key metrics</w:t>
      </w:r>
      <w:r>
        <w:t>.</w:t>
      </w:r>
    </w:p>
    <w:p w14:paraId="776E4B7F" w14:textId="310CE69C" w:rsidR="00017DAA" w:rsidRDefault="00017DAA" w:rsidP="00DE5FCF">
      <w:pPr>
        <w:pStyle w:val="ListParagraph"/>
        <w:numPr>
          <w:ilvl w:val="0"/>
          <w:numId w:val="17"/>
        </w:numPr>
      </w:pPr>
      <w:r>
        <w:t xml:space="preserve">Sub-index scores will then be calculated for the </w:t>
      </w:r>
      <w:r w:rsidR="00401027">
        <w:t>‘</w:t>
      </w:r>
      <w:r>
        <w:t>likelihood’ and ‘consequence’ sub-</w:t>
      </w:r>
      <w:r w:rsidR="00DB1BD4">
        <w:t>indices</w:t>
      </w:r>
      <w:r>
        <w:t xml:space="preserve">, using weighting factors for </w:t>
      </w:r>
      <w:r w:rsidR="00342862">
        <w:t xml:space="preserve">the relevant </w:t>
      </w:r>
      <w:r>
        <w:t>temporal risk element score</w:t>
      </w:r>
      <w:r w:rsidR="00342862">
        <w:t>s (</w:t>
      </w:r>
      <w:r w:rsidR="005D7D61">
        <w:t xml:space="preserve">See </w:t>
      </w:r>
      <w:r w:rsidR="00342862">
        <w:t>E</w:t>
      </w:r>
      <w:r w:rsidR="00DB1BD4">
        <w:t xml:space="preserve">quations </w:t>
      </w:r>
      <w:r w:rsidR="002D6A18">
        <w:t>3</w:t>
      </w:r>
      <w:r w:rsidR="00DB1BD4">
        <w:t xml:space="preserve"> and </w:t>
      </w:r>
      <w:r w:rsidR="002D6A18">
        <w:t>4</w:t>
      </w:r>
      <w:r w:rsidR="00342862">
        <w:t>).</w:t>
      </w:r>
    </w:p>
    <w:p w14:paraId="0547B986" w14:textId="36EB188C" w:rsidR="00DE5FCF" w:rsidRPr="00DE5FCF" w:rsidRDefault="005D7D61" w:rsidP="00DE5FCF">
      <w:pPr>
        <w:pStyle w:val="ListParagraph"/>
        <w:numPr>
          <w:ilvl w:val="0"/>
          <w:numId w:val="17"/>
        </w:numPr>
      </w:pPr>
      <w:r>
        <w:t>A similar calculation will be used to calculate the overall risk from the likelihood and consequence.</w:t>
      </w:r>
      <w:r w:rsidRPr="005D7D61">
        <w:t xml:space="preserve"> </w:t>
      </w:r>
      <w:r>
        <w:t xml:space="preserve">See </w:t>
      </w:r>
      <w:r w:rsidR="00342862">
        <w:t>E</w:t>
      </w:r>
      <w:r w:rsidR="00DB1BD4">
        <w:t xml:space="preserve">quation </w:t>
      </w:r>
      <w:r w:rsidR="002D6A18">
        <w:t>5</w:t>
      </w:r>
      <w:r w:rsidR="00DB1BD4">
        <w:t>.</w:t>
      </w:r>
    </w:p>
    <w:p w14:paraId="089AA551" w14:textId="622C0D6E" w:rsidR="00DE5FCF" w:rsidRDefault="00DE5FCF" w:rsidP="00DE5FCF">
      <w:pPr>
        <w:pStyle w:val="ListParagraph"/>
        <w:numPr>
          <w:ilvl w:val="0"/>
          <w:numId w:val="17"/>
        </w:numPr>
      </w:pPr>
      <w:r>
        <w:t>Weighting</w:t>
      </w:r>
      <w:r w:rsidR="0026629D">
        <w:t xml:space="preserve"> factors assigned </w:t>
      </w:r>
      <w:r>
        <w:t xml:space="preserve">for each </w:t>
      </w:r>
      <w:r w:rsidR="00DB1BD4">
        <w:t>metric</w:t>
      </w:r>
      <w:r>
        <w:t xml:space="preserve"> will be calculated from </w:t>
      </w:r>
      <w:r w:rsidR="00401027">
        <w:t>two</w:t>
      </w:r>
      <w:r>
        <w:t xml:space="preserve"> </w:t>
      </w:r>
      <w:r w:rsidR="00FF7F90">
        <w:t xml:space="preserve">components </w:t>
      </w:r>
      <w:r w:rsidR="00401027">
        <w:t>multiplied</w:t>
      </w:r>
      <w:r w:rsidR="00FF7F90">
        <w:t xml:space="preserve"> together</w:t>
      </w:r>
      <w:r w:rsidR="005D7D61">
        <w:t xml:space="preserve"> to create an overall weighting factor. Each of th</w:t>
      </w:r>
      <w:r w:rsidR="00401027">
        <w:t>e</w:t>
      </w:r>
      <w:r w:rsidR="00342862">
        <w:t>se</w:t>
      </w:r>
      <w:r w:rsidR="005D7D61">
        <w:t xml:space="preserve"> sub-weighting factors </w:t>
      </w:r>
      <w:r w:rsidR="00342862">
        <w:t>were based on the subjective assessments</w:t>
      </w:r>
      <w:r w:rsidR="00C30820">
        <w:t xml:space="preserve"> </w:t>
      </w:r>
      <w:r w:rsidR="00401027">
        <w:t>of the project team</w:t>
      </w:r>
      <w:r w:rsidR="00342862">
        <w:t>,</w:t>
      </w:r>
      <w:r w:rsidR="00401027">
        <w:t xml:space="preserve"> </w:t>
      </w:r>
      <w:r w:rsidR="00FF7F90">
        <w:t xml:space="preserve">informed by </w:t>
      </w:r>
      <w:r w:rsidR="00342862">
        <w:t xml:space="preserve">the </w:t>
      </w:r>
      <w:r w:rsidR="00FF7F90">
        <w:t>literature.</w:t>
      </w:r>
    </w:p>
    <w:p w14:paraId="527E02B4" w14:textId="040367DD" w:rsidR="00DE5FCF" w:rsidRDefault="00DE5FCF" w:rsidP="00DE5FCF">
      <w:pPr>
        <w:pStyle w:val="ListParagraph"/>
        <w:numPr>
          <w:ilvl w:val="1"/>
          <w:numId w:val="17"/>
        </w:numPr>
      </w:pPr>
      <w:r>
        <w:t>Relevance: A m</w:t>
      </w:r>
      <w:r w:rsidRPr="00DE5FCF">
        <w:t>easure of how relevant a factor is to the risk component</w:t>
      </w:r>
      <w:r w:rsidR="000607B9">
        <w:t xml:space="preserve">, </w:t>
      </w:r>
      <w:r w:rsidRPr="00DE5FCF">
        <w:t xml:space="preserve">how </w:t>
      </w:r>
      <w:r w:rsidR="00FF7F90">
        <w:t>close</w:t>
      </w:r>
      <w:r w:rsidRPr="00DE5FCF">
        <w:t xml:space="preserve"> a proxy the metric is for the </w:t>
      </w:r>
      <w:r w:rsidR="00342862">
        <w:t xml:space="preserve">actual </w:t>
      </w:r>
      <w:r w:rsidRPr="00DE5FCF">
        <w:t>factor</w:t>
      </w:r>
      <w:r w:rsidR="00342862">
        <w:t xml:space="preserve"> identified</w:t>
      </w:r>
      <w:r w:rsidR="000607B9">
        <w:t>, and how unique a factor is</w:t>
      </w:r>
    </w:p>
    <w:p w14:paraId="563542FE" w14:textId="0E5B77CD" w:rsidR="00BC4CC1" w:rsidRDefault="00BC4CC1" w:rsidP="00DE5FCF">
      <w:pPr>
        <w:pStyle w:val="ListParagraph"/>
        <w:numPr>
          <w:ilvl w:val="1"/>
          <w:numId w:val="17"/>
        </w:numPr>
      </w:pPr>
      <w:r>
        <w:t>Quality: An estimate of the quality of the data, also considering the number of data gaps</w:t>
      </w:r>
    </w:p>
    <w:p w14:paraId="105C2856" w14:textId="7336956B" w:rsidR="002F48CF" w:rsidRDefault="00166738" w:rsidP="00764C13">
      <w:pPr>
        <w:pStyle w:val="Heading3"/>
        <w:spacing w:after="0"/>
      </w:pPr>
      <w:r>
        <w:t>Refining the method</w:t>
      </w:r>
    </w:p>
    <w:p w14:paraId="459DB51F" w14:textId="39DF98C5" w:rsidR="000607B9" w:rsidRDefault="000607B9" w:rsidP="00C7157D">
      <w:r>
        <w:t>To refine the method</w:t>
      </w:r>
      <w:r w:rsidR="00342862">
        <w:t>,</w:t>
      </w:r>
      <w:r>
        <w:t xml:space="preserve"> an iterative approach </w:t>
      </w:r>
      <w:r w:rsidR="00401027">
        <w:t>for improving</w:t>
      </w:r>
      <w:r>
        <w:t xml:space="preserve"> the calculations and weightin</w:t>
      </w:r>
      <w:r w:rsidR="00401027">
        <w:t>g</w:t>
      </w:r>
      <w:r>
        <w:t xml:space="preserve">s was </w:t>
      </w:r>
      <w:r w:rsidR="00342862">
        <w:t>adopted</w:t>
      </w:r>
      <w:r>
        <w:t>, following the steps below</w:t>
      </w:r>
      <w:r w:rsidR="00C719EA">
        <w:t>:</w:t>
      </w:r>
    </w:p>
    <w:p w14:paraId="2554E8C9" w14:textId="7C8443A7" w:rsidR="00166738" w:rsidRPr="00C7157D" w:rsidRDefault="000607B9" w:rsidP="00C7157D">
      <w:pPr>
        <w:pStyle w:val="ListParagraph"/>
        <w:numPr>
          <w:ilvl w:val="0"/>
          <w:numId w:val="24"/>
        </w:numPr>
        <w:rPr>
          <w:rFonts w:eastAsia="Times New Roman"/>
        </w:rPr>
      </w:pPr>
      <w:r w:rsidRPr="00C7157D">
        <w:rPr>
          <w:rFonts w:eastAsia="Times New Roman"/>
        </w:rPr>
        <w:t xml:space="preserve">Subjective </w:t>
      </w:r>
      <w:r w:rsidR="00342862">
        <w:rPr>
          <w:rFonts w:eastAsia="Times New Roman"/>
        </w:rPr>
        <w:t>assessments were</w:t>
      </w:r>
      <w:r w:rsidRPr="00C7157D">
        <w:rPr>
          <w:rFonts w:eastAsia="Times New Roman"/>
        </w:rPr>
        <w:t xml:space="preserve"> used to formulate the </w:t>
      </w:r>
      <w:r w:rsidR="00342862">
        <w:rPr>
          <w:rFonts w:eastAsia="Times New Roman"/>
        </w:rPr>
        <w:t>initial</w:t>
      </w:r>
      <w:r w:rsidR="00342862" w:rsidRPr="00C7157D">
        <w:rPr>
          <w:rFonts w:eastAsia="Times New Roman"/>
        </w:rPr>
        <w:t xml:space="preserve"> </w:t>
      </w:r>
      <w:r w:rsidRPr="00C7157D">
        <w:rPr>
          <w:rFonts w:eastAsia="Times New Roman"/>
        </w:rPr>
        <w:t xml:space="preserve">weightings and </w:t>
      </w:r>
      <w:r w:rsidR="00342862">
        <w:rPr>
          <w:rFonts w:eastAsia="Times New Roman"/>
        </w:rPr>
        <w:t>to decide which metrics were considered “key”</w:t>
      </w:r>
    </w:p>
    <w:p w14:paraId="3B69864B" w14:textId="73369D6A" w:rsidR="000607B9" w:rsidRPr="00C7157D" w:rsidRDefault="000607B9" w:rsidP="00C7157D">
      <w:pPr>
        <w:pStyle w:val="ListParagraph"/>
        <w:numPr>
          <w:ilvl w:val="0"/>
          <w:numId w:val="24"/>
        </w:numPr>
        <w:rPr>
          <w:rFonts w:eastAsia="Times New Roman"/>
        </w:rPr>
      </w:pPr>
      <w:r w:rsidRPr="00C7157D">
        <w:rPr>
          <w:rFonts w:eastAsia="Times New Roman"/>
        </w:rPr>
        <w:t xml:space="preserve">The analysis was completed using an original method, shown as method 1A in Table </w:t>
      </w:r>
      <w:r w:rsidR="00E823FE">
        <w:rPr>
          <w:rFonts w:eastAsia="Times New Roman"/>
        </w:rPr>
        <w:t>3</w:t>
      </w:r>
      <w:r w:rsidRPr="00C7157D">
        <w:rPr>
          <w:rFonts w:eastAsia="Times New Roman"/>
        </w:rPr>
        <w:t xml:space="preserve"> below</w:t>
      </w:r>
    </w:p>
    <w:p w14:paraId="4BA59B2B" w14:textId="457A9851" w:rsidR="000607B9" w:rsidRDefault="00342862" w:rsidP="00C7157D">
      <w:pPr>
        <w:pStyle w:val="ListParagraph"/>
        <w:numPr>
          <w:ilvl w:val="0"/>
          <w:numId w:val="24"/>
        </w:numPr>
        <w:rPr>
          <w:rFonts w:eastAsia="Times New Roman"/>
        </w:rPr>
      </w:pPr>
      <w:r>
        <w:rPr>
          <w:rFonts w:eastAsia="Times New Roman"/>
        </w:rPr>
        <w:t>Based on</w:t>
      </w:r>
      <w:r w:rsidRPr="00C7157D">
        <w:rPr>
          <w:rFonts w:eastAsia="Times New Roman"/>
        </w:rPr>
        <w:t xml:space="preserve"> </w:t>
      </w:r>
      <w:r w:rsidR="000607B9" w:rsidRPr="00C7157D">
        <w:rPr>
          <w:rFonts w:eastAsia="Times New Roman"/>
        </w:rPr>
        <w:t xml:space="preserve">the results of the first iteration of the analysis, weightings were tweaked to reflect </w:t>
      </w:r>
      <w:r>
        <w:rPr>
          <w:rFonts w:eastAsia="Times New Roman"/>
        </w:rPr>
        <w:t xml:space="preserve">further information sought within </w:t>
      </w:r>
      <w:r w:rsidR="000607B9" w:rsidRPr="00C7157D">
        <w:rPr>
          <w:rFonts w:eastAsia="Times New Roman"/>
        </w:rPr>
        <w:t>the verification countries</w:t>
      </w:r>
    </w:p>
    <w:p w14:paraId="65299153" w14:textId="2DB3EE02" w:rsidR="00401027" w:rsidRPr="00C7157D" w:rsidRDefault="00401027" w:rsidP="00C7157D">
      <w:pPr>
        <w:pStyle w:val="ListParagraph"/>
        <w:numPr>
          <w:ilvl w:val="0"/>
          <w:numId w:val="24"/>
        </w:numPr>
        <w:rPr>
          <w:rFonts w:eastAsia="Times New Roman"/>
        </w:rPr>
      </w:pPr>
      <w:r>
        <w:rPr>
          <w:rFonts w:eastAsia="Times New Roman"/>
        </w:rPr>
        <w:t xml:space="preserve">Multiple methods </w:t>
      </w:r>
      <w:r w:rsidR="00342862">
        <w:rPr>
          <w:rFonts w:eastAsia="Times New Roman"/>
        </w:rPr>
        <w:t>were</w:t>
      </w:r>
      <w:r>
        <w:rPr>
          <w:rFonts w:eastAsia="Times New Roman"/>
        </w:rPr>
        <w:t xml:space="preserve"> assessed for their </w:t>
      </w:r>
      <w:r w:rsidR="00C719EA">
        <w:rPr>
          <w:rFonts w:eastAsia="Times New Roman"/>
        </w:rPr>
        <w:t>p</w:t>
      </w:r>
      <w:r w:rsidR="00C719EA" w:rsidRPr="00C719EA">
        <w:rPr>
          <w:rFonts w:eastAsia="Times New Roman"/>
        </w:rPr>
        <w:t>redicative value within the verification countries</w:t>
      </w:r>
    </w:p>
    <w:p w14:paraId="0A3BC0BC" w14:textId="534724D7" w:rsidR="000607B9" w:rsidRDefault="000607B9" w:rsidP="00C7157D">
      <w:pPr>
        <w:rPr>
          <w:rFonts w:eastAsia="Times New Roman"/>
        </w:rPr>
      </w:pPr>
      <w:r>
        <w:rPr>
          <w:rFonts w:eastAsia="Times New Roman"/>
        </w:rPr>
        <w:t xml:space="preserve">Two key issues with the original method </w:t>
      </w:r>
      <w:r w:rsidR="00401027">
        <w:rPr>
          <w:rFonts w:eastAsia="Times New Roman"/>
        </w:rPr>
        <w:t xml:space="preserve">trialled in step 2, </w:t>
      </w:r>
      <w:r>
        <w:rPr>
          <w:rFonts w:eastAsia="Times New Roman"/>
        </w:rPr>
        <w:t>were noted</w:t>
      </w:r>
      <w:r w:rsidR="00401027">
        <w:rPr>
          <w:rFonts w:eastAsia="Times New Roman"/>
        </w:rPr>
        <w:t>:</w:t>
      </w:r>
    </w:p>
    <w:p w14:paraId="2F9FD8BA" w14:textId="6ABE9A64" w:rsidR="000607B9" w:rsidRPr="00C7157D" w:rsidRDefault="000607B9" w:rsidP="00C7157D">
      <w:pPr>
        <w:pStyle w:val="ListParagraph"/>
        <w:numPr>
          <w:ilvl w:val="0"/>
          <w:numId w:val="25"/>
        </w:numPr>
        <w:rPr>
          <w:rFonts w:eastAsia="Times New Roman"/>
        </w:rPr>
      </w:pPr>
      <w:r w:rsidRPr="00C7157D">
        <w:rPr>
          <w:rFonts w:eastAsia="Times New Roman"/>
        </w:rPr>
        <w:t>If a country score</w:t>
      </w:r>
      <w:r w:rsidR="00342862">
        <w:rPr>
          <w:rFonts w:eastAsia="Times New Roman"/>
        </w:rPr>
        <w:t>d</w:t>
      </w:r>
      <w:r w:rsidRPr="00C7157D">
        <w:rPr>
          <w:rFonts w:eastAsia="Times New Roman"/>
        </w:rPr>
        <w:t xml:space="preserve"> poorly in a single </w:t>
      </w:r>
      <w:r w:rsidRPr="00C7157D">
        <w:rPr>
          <w:rFonts w:eastAsia="Times New Roman"/>
          <w:b/>
          <w:bCs/>
          <w:u w:val="single"/>
        </w:rPr>
        <w:t>key metric</w:t>
      </w:r>
      <w:r w:rsidRPr="00C7157D">
        <w:rPr>
          <w:rFonts w:eastAsia="Times New Roman"/>
        </w:rPr>
        <w:t xml:space="preserve">, </w:t>
      </w:r>
      <w:r w:rsidR="00401027">
        <w:rPr>
          <w:rFonts w:eastAsia="Times New Roman"/>
        </w:rPr>
        <w:t>it</w:t>
      </w:r>
      <w:r w:rsidRPr="00C7157D">
        <w:rPr>
          <w:rFonts w:eastAsia="Times New Roman"/>
        </w:rPr>
        <w:t xml:space="preserve"> would always receive a very poor score</w:t>
      </w:r>
    </w:p>
    <w:p w14:paraId="5F13B443" w14:textId="418F8977" w:rsidR="000607B9" w:rsidRPr="00C7157D" w:rsidRDefault="00342862" w:rsidP="00C7157D">
      <w:pPr>
        <w:pStyle w:val="ListParagraph"/>
        <w:numPr>
          <w:ilvl w:val="0"/>
          <w:numId w:val="25"/>
        </w:numPr>
        <w:rPr>
          <w:rFonts w:eastAsia="Times New Roman"/>
        </w:rPr>
      </w:pPr>
      <w:r>
        <w:rPr>
          <w:rFonts w:eastAsia="Times New Roman"/>
        </w:rPr>
        <w:t>For</w:t>
      </w:r>
      <w:r w:rsidRPr="00C7157D">
        <w:rPr>
          <w:rFonts w:eastAsia="Times New Roman"/>
        </w:rPr>
        <w:t xml:space="preserve"> </w:t>
      </w:r>
      <w:r w:rsidR="000607B9" w:rsidRPr="00C7157D">
        <w:rPr>
          <w:rFonts w:eastAsia="Times New Roman"/>
        </w:rPr>
        <w:t>some metrics</w:t>
      </w:r>
      <w:r>
        <w:rPr>
          <w:rFonts w:eastAsia="Times New Roman"/>
        </w:rPr>
        <w:t>,</w:t>
      </w:r>
      <w:r w:rsidR="000607B9" w:rsidRPr="00C7157D">
        <w:rPr>
          <w:rFonts w:eastAsia="Times New Roman"/>
        </w:rPr>
        <w:t xml:space="preserve"> the </w:t>
      </w:r>
      <w:r w:rsidR="000607B9" w:rsidRPr="00401027">
        <w:rPr>
          <w:rFonts w:eastAsia="Times New Roman"/>
          <w:b/>
          <w:bCs/>
          <w:u w:val="single"/>
        </w:rPr>
        <w:t>normalisation</w:t>
      </w:r>
      <w:r w:rsidR="000607B9" w:rsidRPr="00C7157D">
        <w:rPr>
          <w:rFonts w:eastAsia="Times New Roman"/>
        </w:rPr>
        <w:t xml:space="preserve"> </w:t>
      </w:r>
      <w:r w:rsidR="00F236CD">
        <w:rPr>
          <w:rFonts w:eastAsia="Times New Roman"/>
        </w:rPr>
        <w:t xml:space="preserve">procedure </w:t>
      </w:r>
      <w:r w:rsidR="00F236CD" w:rsidRPr="00C7157D">
        <w:rPr>
          <w:rFonts w:eastAsia="Times New Roman"/>
        </w:rPr>
        <w:t>produced</w:t>
      </w:r>
      <w:r w:rsidR="000607B9" w:rsidRPr="00C7157D">
        <w:rPr>
          <w:rFonts w:eastAsia="Times New Roman"/>
        </w:rPr>
        <w:t xml:space="preserve"> unhelpful results due to </w:t>
      </w:r>
      <w:r>
        <w:rPr>
          <w:rFonts w:eastAsia="Times New Roman"/>
        </w:rPr>
        <w:t xml:space="preserve">the wide range and </w:t>
      </w:r>
      <w:r w:rsidR="000607B9" w:rsidRPr="00C7157D">
        <w:rPr>
          <w:rFonts w:eastAsia="Times New Roman"/>
        </w:rPr>
        <w:t>outlier</w:t>
      </w:r>
      <w:r>
        <w:rPr>
          <w:rFonts w:eastAsia="Times New Roman"/>
        </w:rPr>
        <w:t xml:space="preserve"> values for certain countries</w:t>
      </w:r>
    </w:p>
    <w:p w14:paraId="3E0EAFA0" w14:textId="4FC11855" w:rsidR="000607B9" w:rsidRPr="000607B9" w:rsidRDefault="000607B9" w:rsidP="00C7157D">
      <w:pPr>
        <w:rPr>
          <w:rFonts w:eastAsia="Times New Roman"/>
        </w:rPr>
      </w:pPr>
      <w:r>
        <w:rPr>
          <w:rFonts w:eastAsia="Times New Roman"/>
        </w:rPr>
        <w:t xml:space="preserve">The combination of these two issues was most clearly shown in the medical infrastructure factor. As each metric had one or two </w:t>
      </w:r>
      <w:r w:rsidR="00342862">
        <w:rPr>
          <w:rFonts w:eastAsia="Times New Roman"/>
        </w:rPr>
        <w:t xml:space="preserve">countries with extreme </w:t>
      </w:r>
      <w:r>
        <w:rPr>
          <w:rFonts w:eastAsia="Times New Roman"/>
        </w:rPr>
        <w:t xml:space="preserve">outliers, </w:t>
      </w:r>
      <w:r w:rsidR="00C7157D">
        <w:rPr>
          <w:rFonts w:eastAsia="Times New Roman"/>
        </w:rPr>
        <w:t xml:space="preserve">60% of countries received a factor score of 0.1 or lower which resulted in only </w:t>
      </w:r>
      <w:r w:rsidR="00401027">
        <w:rPr>
          <w:rFonts w:eastAsia="Times New Roman"/>
        </w:rPr>
        <w:t>44 of the 47</w:t>
      </w:r>
      <w:r w:rsidR="00C7157D">
        <w:rPr>
          <w:rFonts w:eastAsia="Times New Roman"/>
        </w:rPr>
        <w:t xml:space="preserve"> countries being considered very high risk </w:t>
      </w:r>
      <w:r w:rsidR="00401027">
        <w:rPr>
          <w:rFonts w:eastAsia="Times New Roman"/>
        </w:rPr>
        <w:t>due</w:t>
      </w:r>
      <w:r w:rsidR="00C7157D">
        <w:rPr>
          <w:rFonts w:eastAsia="Times New Roman"/>
        </w:rPr>
        <w:t xml:space="preserve"> of their ability to treat.</w:t>
      </w:r>
      <w:r w:rsidR="00401027">
        <w:rPr>
          <w:rFonts w:eastAsia="Times New Roman"/>
        </w:rPr>
        <w:t xml:space="preserve"> These are not accurate </w:t>
      </w:r>
      <w:r w:rsidR="000C63C0">
        <w:rPr>
          <w:rFonts w:eastAsia="Times New Roman"/>
        </w:rPr>
        <w:t>or helpful</w:t>
      </w:r>
      <w:r w:rsidR="00401027">
        <w:rPr>
          <w:rFonts w:eastAsia="Times New Roman"/>
        </w:rPr>
        <w:t xml:space="preserve"> </w:t>
      </w:r>
      <w:r w:rsidR="000C63C0">
        <w:rPr>
          <w:rFonts w:eastAsia="Times New Roman"/>
        </w:rPr>
        <w:t xml:space="preserve">as they skew </w:t>
      </w:r>
      <w:r w:rsidR="0036491A">
        <w:rPr>
          <w:rFonts w:eastAsia="Times New Roman"/>
        </w:rPr>
        <w:t>the</w:t>
      </w:r>
      <w:r w:rsidR="000C63C0">
        <w:rPr>
          <w:rFonts w:eastAsia="Times New Roman"/>
        </w:rPr>
        <w:t xml:space="preserve"> results</w:t>
      </w:r>
      <w:r w:rsidR="00401027">
        <w:rPr>
          <w:rFonts w:eastAsia="Times New Roman"/>
        </w:rPr>
        <w:t>.</w:t>
      </w:r>
    </w:p>
    <w:p w14:paraId="60157675" w14:textId="6E9D2D87" w:rsidR="00C7157D" w:rsidRDefault="00C7157D" w:rsidP="00667FBA">
      <w:pPr>
        <w:rPr>
          <w:rFonts w:eastAsia="Times New Roman"/>
        </w:rPr>
      </w:pPr>
      <w:r>
        <w:rPr>
          <w:rFonts w:eastAsia="Times New Roman"/>
        </w:rPr>
        <w:lastRenderedPageBreak/>
        <w:t xml:space="preserve">Two other potential </w:t>
      </w:r>
      <w:r w:rsidR="00401027">
        <w:rPr>
          <w:rFonts w:eastAsia="Times New Roman"/>
        </w:rPr>
        <w:t>revisions</w:t>
      </w:r>
      <w:r>
        <w:rPr>
          <w:rFonts w:eastAsia="Times New Roman"/>
        </w:rPr>
        <w:t xml:space="preserve"> were devised for each problem</w:t>
      </w:r>
      <w:r w:rsidR="00802C27">
        <w:rPr>
          <w:rFonts w:eastAsia="Times New Roman"/>
        </w:rPr>
        <w:t xml:space="preserve"> and are</w:t>
      </w:r>
      <w:r>
        <w:rPr>
          <w:rFonts w:eastAsia="Times New Roman"/>
        </w:rPr>
        <w:t xml:space="preserve"> shown in </w:t>
      </w:r>
      <w:r w:rsidR="00802C27">
        <w:rPr>
          <w:rFonts w:eastAsia="Times New Roman"/>
        </w:rPr>
        <w:t>T</w:t>
      </w:r>
      <w:r>
        <w:rPr>
          <w:rFonts w:eastAsia="Times New Roman"/>
        </w:rPr>
        <w:t xml:space="preserve">able </w:t>
      </w:r>
      <w:r w:rsidR="00764C13">
        <w:rPr>
          <w:rFonts w:eastAsia="Times New Roman"/>
        </w:rPr>
        <w:t>3</w:t>
      </w:r>
      <w:r w:rsidR="00802C27" w:rsidRPr="00802C27">
        <w:rPr>
          <w:rFonts w:eastAsia="Times New Roman"/>
        </w:rPr>
        <w:t xml:space="preserve"> </w:t>
      </w:r>
      <w:r w:rsidR="00802C27">
        <w:rPr>
          <w:rFonts w:eastAsia="Times New Roman"/>
        </w:rPr>
        <w:t>below</w:t>
      </w:r>
      <w:r>
        <w:rPr>
          <w:rFonts w:eastAsia="Times New Roman"/>
        </w:rPr>
        <w:t>. This resulted in a 3 x 3 matrix with a total o</w:t>
      </w:r>
      <w:r w:rsidR="00802C27">
        <w:rPr>
          <w:rFonts w:eastAsia="Times New Roman"/>
        </w:rPr>
        <w:t>f</w:t>
      </w:r>
      <w:r>
        <w:rPr>
          <w:rFonts w:eastAsia="Times New Roman"/>
        </w:rPr>
        <w:t xml:space="preserve"> nine methods </w:t>
      </w:r>
      <w:r w:rsidR="00802C27">
        <w:rPr>
          <w:rFonts w:eastAsia="Times New Roman"/>
        </w:rPr>
        <w:t xml:space="preserve">being </w:t>
      </w:r>
      <w:r>
        <w:rPr>
          <w:rFonts w:eastAsia="Times New Roman"/>
        </w:rPr>
        <w:t>trailed.</w:t>
      </w:r>
    </w:p>
    <w:p w14:paraId="65C52BC4" w14:textId="5B905920" w:rsidR="00667FBA" w:rsidRDefault="00667FBA" w:rsidP="00667FBA">
      <w:pPr>
        <w:pStyle w:val="Caption"/>
        <w:keepNext/>
      </w:pPr>
      <w:r>
        <w:t xml:space="preserve">Table </w:t>
      </w:r>
      <w:r w:rsidR="00047BE6">
        <w:fldChar w:fldCharType="begin"/>
      </w:r>
      <w:r w:rsidR="00047BE6">
        <w:instrText xml:space="preserve"> SEQ Table \* ARABIC </w:instrText>
      </w:r>
      <w:r w:rsidR="00047BE6">
        <w:fldChar w:fldCharType="separate"/>
      </w:r>
      <w:r w:rsidR="00453014">
        <w:rPr>
          <w:noProof/>
        </w:rPr>
        <w:t>3</w:t>
      </w:r>
      <w:r w:rsidR="00047BE6">
        <w:rPr>
          <w:noProof/>
        </w:rPr>
        <w:fldChar w:fldCharType="end"/>
      </w:r>
      <w:r>
        <w:t>. Attempted methods matrix</w:t>
      </w:r>
    </w:p>
    <w:tbl>
      <w:tblPr>
        <w:tblW w:w="91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2549"/>
        <w:gridCol w:w="1390"/>
        <w:gridCol w:w="1869"/>
        <w:gridCol w:w="2019"/>
      </w:tblGrid>
      <w:tr w:rsidR="00D076AD" w:rsidRPr="00D076AD" w14:paraId="69C5F369" w14:textId="77777777" w:rsidTr="00D076AD">
        <w:trPr>
          <w:trHeight w:val="285"/>
          <w:jc w:val="right"/>
        </w:trPr>
        <w:tc>
          <w:tcPr>
            <w:tcW w:w="1337" w:type="dxa"/>
            <w:tcBorders>
              <w:top w:val="nil"/>
              <w:left w:val="nil"/>
              <w:bottom w:val="nil"/>
              <w:right w:val="nil"/>
            </w:tcBorders>
            <w:shd w:val="clear" w:color="auto" w:fill="auto"/>
            <w:vAlign w:val="center"/>
            <w:hideMark/>
          </w:tcPr>
          <w:p w14:paraId="2732069E" w14:textId="77777777" w:rsidR="00C7157D" w:rsidRPr="00D076AD" w:rsidRDefault="00C7157D" w:rsidP="00D076AD">
            <w:pPr>
              <w:rPr>
                <w:rFonts w:eastAsia="Times New Roman"/>
                <w:lang w:eastAsia="en-AU"/>
              </w:rPr>
            </w:pPr>
          </w:p>
        </w:tc>
        <w:tc>
          <w:tcPr>
            <w:tcW w:w="2596" w:type="dxa"/>
            <w:tcBorders>
              <w:top w:val="nil"/>
              <w:left w:val="nil"/>
              <w:bottom w:val="nil"/>
              <w:right w:val="single" w:sz="4" w:space="0" w:color="auto"/>
            </w:tcBorders>
            <w:shd w:val="clear" w:color="auto" w:fill="auto"/>
            <w:vAlign w:val="center"/>
            <w:hideMark/>
          </w:tcPr>
          <w:p w14:paraId="0FC0F1DD" w14:textId="77777777" w:rsidR="00C7157D" w:rsidRPr="00D076AD" w:rsidRDefault="00C7157D" w:rsidP="00D076AD">
            <w:pPr>
              <w:rPr>
                <w:rFonts w:eastAsia="Times New Roman"/>
                <w:lang w:eastAsia="en-AU"/>
              </w:rPr>
            </w:pPr>
          </w:p>
        </w:tc>
        <w:tc>
          <w:tcPr>
            <w:tcW w:w="5232" w:type="dxa"/>
            <w:gridSpan w:val="3"/>
            <w:tcBorders>
              <w:left w:val="single" w:sz="4" w:space="0" w:color="auto"/>
            </w:tcBorders>
            <w:shd w:val="clear" w:color="auto" w:fill="auto"/>
            <w:vAlign w:val="center"/>
            <w:hideMark/>
          </w:tcPr>
          <w:p w14:paraId="780B6F9E" w14:textId="77777777" w:rsidR="00C7157D" w:rsidRPr="00D076AD" w:rsidRDefault="00C7157D" w:rsidP="00D076AD">
            <w:pPr>
              <w:rPr>
                <w:b/>
                <w:bCs/>
                <w:szCs w:val="16"/>
              </w:rPr>
            </w:pPr>
            <w:r w:rsidRPr="00D076AD">
              <w:rPr>
                <w:b/>
                <w:bCs/>
                <w:szCs w:val="16"/>
              </w:rPr>
              <w:t>Approach to normalisation</w:t>
            </w:r>
          </w:p>
        </w:tc>
      </w:tr>
      <w:tr w:rsidR="00D076AD" w:rsidRPr="00D076AD" w14:paraId="180522AF" w14:textId="77777777" w:rsidTr="00D076AD">
        <w:trPr>
          <w:trHeight w:val="527"/>
          <w:jc w:val="right"/>
        </w:trPr>
        <w:tc>
          <w:tcPr>
            <w:tcW w:w="1337" w:type="dxa"/>
            <w:tcBorders>
              <w:top w:val="nil"/>
              <w:left w:val="nil"/>
              <w:bottom w:val="single" w:sz="4" w:space="0" w:color="auto"/>
              <w:right w:val="nil"/>
            </w:tcBorders>
            <w:shd w:val="clear" w:color="auto" w:fill="auto"/>
            <w:vAlign w:val="center"/>
            <w:hideMark/>
          </w:tcPr>
          <w:p w14:paraId="6AD48585" w14:textId="77777777" w:rsidR="00C7157D" w:rsidRPr="00D076AD" w:rsidRDefault="00C7157D" w:rsidP="00D076AD">
            <w:pPr>
              <w:rPr>
                <w:rFonts w:ascii="Calibri" w:eastAsia="Times New Roman" w:hAnsi="Calibri" w:cs="Calibri"/>
                <w:sz w:val="22"/>
                <w:szCs w:val="22"/>
                <w:lang w:eastAsia="en-AU"/>
              </w:rPr>
            </w:pPr>
          </w:p>
        </w:tc>
        <w:tc>
          <w:tcPr>
            <w:tcW w:w="2596" w:type="dxa"/>
            <w:tcBorders>
              <w:top w:val="nil"/>
              <w:left w:val="nil"/>
              <w:bottom w:val="single" w:sz="4" w:space="0" w:color="auto"/>
              <w:right w:val="single" w:sz="4" w:space="0" w:color="auto"/>
            </w:tcBorders>
            <w:shd w:val="clear" w:color="auto" w:fill="auto"/>
            <w:vAlign w:val="center"/>
            <w:hideMark/>
          </w:tcPr>
          <w:p w14:paraId="5A08B39E" w14:textId="77777777" w:rsidR="00C7157D" w:rsidRPr="00D076AD" w:rsidRDefault="00C7157D" w:rsidP="00D076AD">
            <w:pPr>
              <w:rPr>
                <w:b/>
                <w:bCs/>
                <w:szCs w:val="16"/>
                <w:shd w:val="clear" w:color="auto" w:fill="333333"/>
              </w:rPr>
            </w:pPr>
          </w:p>
        </w:tc>
        <w:tc>
          <w:tcPr>
            <w:tcW w:w="1283" w:type="dxa"/>
            <w:tcBorders>
              <w:left w:val="single" w:sz="4" w:space="0" w:color="auto"/>
            </w:tcBorders>
            <w:shd w:val="clear" w:color="auto" w:fill="auto"/>
            <w:vAlign w:val="center"/>
            <w:hideMark/>
          </w:tcPr>
          <w:p w14:paraId="1ADF8B3E" w14:textId="143CAA29" w:rsidR="00C7157D" w:rsidRPr="00D076AD" w:rsidRDefault="00C7157D" w:rsidP="00D076AD">
            <w:pPr>
              <w:rPr>
                <w:rFonts w:eastAsia="Times New Roman"/>
              </w:rPr>
            </w:pPr>
            <w:r w:rsidRPr="00D076AD">
              <w:rPr>
                <w:rFonts w:eastAsia="Times New Roman"/>
              </w:rPr>
              <w:t>A: All raw scores normalised from 0-1</w:t>
            </w:r>
          </w:p>
        </w:tc>
        <w:tc>
          <w:tcPr>
            <w:tcW w:w="1905" w:type="dxa"/>
            <w:shd w:val="clear" w:color="auto" w:fill="auto"/>
            <w:vAlign w:val="center"/>
            <w:hideMark/>
          </w:tcPr>
          <w:p w14:paraId="0CED9102" w14:textId="3158008D" w:rsidR="00C7157D" w:rsidRPr="00D076AD" w:rsidRDefault="00C7157D" w:rsidP="00D076AD">
            <w:pPr>
              <w:rPr>
                <w:rFonts w:eastAsia="Times New Roman"/>
              </w:rPr>
            </w:pPr>
            <w:r w:rsidRPr="00D076AD">
              <w:rPr>
                <w:rFonts w:eastAsia="Times New Roman"/>
              </w:rPr>
              <w:t>B: Raw scores ranked</w:t>
            </w:r>
          </w:p>
        </w:tc>
        <w:tc>
          <w:tcPr>
            <w:tcW w:w="2044" w:type="dxa"/>
            <w:shd w:val="clear" w:color="auto" w:fill="auto"/>
            <w:vAlign w:val="center"/>
            <w:hideMark/>
          </w:tcPr>
          <w:p w14:paraId="10E0B825" w14:textId="5585CB64" w:rsidR="00C7157D" w:rsidRPr="00D076AD" w:rsidRDefault="00C7157D" w:rsidP="00D076AD">
            <w:pPr>
              <w:rPr>
                <w:rFonts w:eastAsia="Times New Roman"/>
              </w:rPr>
            </w:pPr>
            <w:r w:rsidRPr="00D076AD">
              <w:rPr>
                <w:rFonts w:eastAsia="Times New Roman"/>
              </w:rPr>
              <w:t xml:space="preserve">C: Raw scores normalised with some metrics having upper or lower limits to remove </w:t>
            </w:r>
            <w:r w:rsidR="00667FBA" w:rsidRPr="00D076AD">
              <w:rPr>
                <w:rFonts w:eastAsia="Times New Roman"/>
              </w:rPr>
              <w:t xml:space="preserve">effect of </w:t>
            </w:r>
            <w:r w:rsidRPr="00D076AD">
              <w:rPr>
                <w:rFonts w:eastAsia="Times New Roman"/>
              </w:rPr>
              <w:t>outliers</w:t>
            </w:r>
          </w:p>
        </w:tc>
      </w:tr>
      <w:tr w:rsidR="00D076AD" w:rsidRPr="00D076AD" w14:paraId="058AA0C4" w14:textId="77777777" w:rsidTr="00D076AD">
        <w:trPr>
          <w:trHeight w:val="527"/>
          <w:jc w:val="right"/>
        </w:trPr>
        <w:tc>
          <w:tcPr>
            <w:tcW w:w="1337" w:type="dxa"/>
            <w:vMerge w:val="restart"/>
            <w:tcBorders>
              <w:top w:val="single" w:sz="4" w:space="0" w:color="auto"/>
            </w:tcBorders>
            <w:shd w:val="clear" w:color="auto" w:fill="auto"/>
            <w:vAlign w:val="center"/>
            <w:hideMark/>
          </w:tcPr>
          <w:p w14:paraId="181052BE" w14:textId="62C8F870" w:rsidR="00C7157D" w:rsidRPr="00D076AD" w:rsidRDefault="00C7157D" w:rsidP="00D076AD">
            <w:pPr>
              <w:rPr>
                <w:b/>
                <w:bCs/>
                <w:szCs w:val="16"/>
                <w:shd w:val="clear" w:color="auto" w:fill="333333"/>
              </w:rPr>
            </w:pPr>
            <w:r w:rsidRPr="00D076AD">
              <w:rPr>
                <w:b/>
                <w:bCs/>
                <w:szCs w:val="16"/>
              </w:rPr>
              <w:t>Approach to key metrics</w:t>
            </w:r>
          </w:p>
        </w:tc>
        <w:tc>
          <w:tcPr>
            <w:tcW w:w="2596" w:type="dxa"/>
            <w:tcBorders>
              <w:top w:val="single" w:sz="4" w:space="0" w:color="auto"/>
            </w:tcBorders>
            <w:shd w:val="clear" w:color="auto" w:fill="auto"/>
            <w:vAlign w:val="center"/>
            <w:hideMark/>
          </w:tcPr>
          <w:p w14:paraId="35AC7606" w14:textId="5E784419" w:rsidR="00C7157D" w:rsidRPr="00D076AD" w:rsidRDefault="00C7157D" w:rsidP="00D076AD">
            <w:pPr>
              <w:rPr>
                <w:rFonts w:eastAsia="Times New Roman"/>
              </w:rPr>
            </w:pPr>
            <w:r w:rsidRPr="00D076AD">
              <w:rPr>
                <w:rFonts w:eastAsia="Times New Roman"/>
              </w:rPr>
              <w:t xml:space="preserve">1: </w:t>
            </w:r>
            <w:r w:rsidR="00802C27" w:rsidRPr="00D076AD">
              <w:rPr>
                <w:rFonts w:eastAsia="Times New Roman"/>
              </w:rPr>
              <w:t xml:space="preserve">All </w:t>
            </w:r>
            <w:r w:rsidRPr="00D076AD">
              <w:rPr>
                <w:rFonts w:eastAsia="Times New Roman"/>
              </w:rPr>
              <w:t xml:space="preserve">Key </w:t>
            </w:r>
            <w:r w:rsidR="00401027" w:rsidRPr="00D076AD">
              <w:rPr>
                <w:rFonts w:eastAsia="Times New Roman"/>
              </w:rPr>
              <w:t>metrics</w:t>
            </w:r>
            <w:r w:rsidRPr="00D076AD">
              <w:rPr>
                <w:rFonts w:eastAsia="Times New Roman"/>
              </w:rPr>
              <w:t xml:space="preserve"> </w:t>
            </w:r>
            <w:r w:rsidR="009C5D48" w:rsidRPr="00D076AD">
              <w:rPr>
                <w:rFonts w:eastAsia="Times New Roman"/>
              </w:rPr>
              <w:t>multiplied</w:t>
            </w:r>
          </w:p>
        </w:tc>
        <w:tc>
          <w:tcPr>
            <w:tcW w:w="1283" w:type="dxa"/>
            <w:shd w:val="clear" w:color="auto" w:fill="auto"/>
            <w:vAlign w:val="center"/>
            <w:hideMark/>
          </w:tcPr>
          <w:p w14:paraId="3438A67D" w14:textId="77777777" w:rsidR="00C7157D" w:rsidRPr="00D076AD" w:rsidRDefault="00C7157D" w:rsidP="00D076AD">
            <w:pPr>
              <w:jc w:val="center"/>
              <w:rPr>
                <w:rFonts w:eastAsia="Times New Roman"/>
                <w:lang w:eastAsia="en-AU"/>
              </w:rPr>
            </w:pPr>
            <w:r w:rsidRPr="00D076AD">
              <w:rPr>
                <w:rFonts w:eastAsia="Times New Roman"/>
                <w:lang w:eastAsia="en-AU"/>
              </w:rPr>
              <w:t>1A</w:t>
            </w:r>
          </w:p>
        </w:tc>
        <w:tc>
          <w:tcPr>
            <w:tcW w:w="1905" w:type="dxa"/>
            <w:shd w:val="clear" w:color="auto" w:fill="auto"/>
            <w:vAlign w:val="center"/>
            <w:hideMark/>
          </w:tcPr>
          <w:p w14:paraId="7C57C8DF" w14:textId="77777777" w:rsidR="00C7157D" w:rsidRPr="00D076AD" w:rsidRDefault="00C7157D" w:rsidP="00D076AD">
            <w:pPr>
              <w:jc w:val="center"/>
              <w:rPr>
                <w:rFonts w:eastAsia="Times New Roman"/>
                <w:lang w:eastAsia="en-AU"/>
              </w:rPr>
            </w:pPr>
            <w:r w:rsidRPr="00D076AD">
              <w:rPr>
                <w:rFonts w:eastAsia="Times New Roman"/>
                <w:lang w:eastAsia="en-AU"/>
              </w:rPr>
              <w:t>1B</w:t>
            </w:r>
          </w:p>
        </w:tc>
        <w:tc>
          <w:tcPr>
            <w:tcW w:w="2044" w:type="dxa"/>
            <w:shd w:val="clear" w:color="auto" w:fill="auto"/>
            <w:vAlign w:val="center"/>
            <w:hideMark/>
          </w:tcPr>
          <w:p w14:paraId="4EC20D72" w14:textId="77777777" w:rsidR="00C7157D" w:rsidRPr="00D076AD" w:rsidRDefault="00C7157D" w:rsidP="00D076AD">
            <w:pPr>
              <w:jc w:val="center"/>
              <w:rPr>
                <w:rFonts w:eastAsia="Times New Roman"/>
                <w:lang w:eastAsia="en-AU"/>
              </w:rPr>
            </w:pPr>
            <w:r w:rsidRPr="00D076AD">
              <w:rPr>
                <w:rFonts w:eastAsia="Times New Roman"/>
                <w:lang w:eastAsia="en-AU"/>
              </w:rPr>
              <w:t>1C</w:t>
            </w:r>
          </w:p>
        </w:tc>
      </w:tr>
      <w:tr w:rsidR="00D076AD" w:rsidRPr="00D076AD" w14:paraId="4F9C7D6D" w14:textId="77777777" w:rsidTr="00D076AD">
        <w:trPr>
          <w:trHeight w:val="1140"/>
          <w:jc w:val="right"/>
        </w:trPr>
        <w:tc>
          <w:tcPr>
            <w:tcW w:w="1337" w:type="dxa"/>
            <w:vMerge/>
            <w:shd w:val="clear" w:color="auto" w:fill="auto"/>
            <w:vAlign w:val="center"/>
            <w:hideMark/>
          </w:tcPr>
          <w:p w14:paraId="32462438" w14:textId="77777777" w:rsidR="00C7157D" w:rsidRPr="00D076AD" w:rsidRDefault="00C7157D" w:rsidP="00D076AD">
            <w:pPr>
              <w:rPr>
                <w:b/>
                <w:bCs/>
                <w:szCs w:val="16"/>
                <w:shd w:val="clear" w:color="auto" w:fill="333333"/>
              </w:rPr>
            </w:pPr>
          </w:p>
        </w:tc>
        <w:tc>
          <w:tcPr>
            <w:tcW w:w="2596" w:type="dxa"/>
            <w:shd w:val="clear" w:color="auto" w:fill="auto"/>
            <w:vAlign w:val="center"/>
            <w:hideMark/>
          </w:tcPr>
          <w:p w14:paraId="3518F898" w14:textId="2E770BC9" w:rsidR="00C7157D" w:rsidRPr="00D076AD" w:rsidRDefault="00C7157D" w:rsidP="00D076AD">
            <w:pPr>
              <w:rPr>
                <w:rFonts w:eastAsia="Times New Roman"/>
              </w:rPr>
            </w:pPr>
            <w:r w:rsidRPr="00D076AD">
              <w:rPr>
                <w:rFonts w:eastAsia="Times New Roman"/>
              </w:rPr>
              <w:t xml:space="preserve">2: Key metrics are </w:t>
            </w:r>
            <w:r w:rsidR="00802C27" w:rsidRPr="00D076AD">
              <w:rPr>
                <w:rFonts w:eastAsia="Times New Roman"/>
              </w:rPr>
              <w:t>multiplied only</w:t>
            </w:r>
            <w:r w:rsidRPr="00D076AD">
              <w:rPr>
                <w:rFonts w:eastAsia="Times New Roman"/>
              </w:rPr>
              <w:t xml:space="preserve"> if </w:t>
            </w:r>
            <w:r w:rsidR="00802C27" w:rsidRPr="00D076AD">
              <w:rPr>
                <w:rFonts w:eastAsia="Times New Roman"/>
              </w:rPr>
              <w:t>more than a single metric is used to represent a given factor. T</w:t>
            </w:r>
            <w:r w:rsidRPr="00D076AD">
              <w:rPr>
                <w:rFonts w:eastAsia="Times New Roman"/>
              </w:rPr>
              <w:t xml:space="preserve">he factor </w:t>
            </w:r>
            <w:r w:rsidR="00802C27" w:rsidRPr="00D076AD">
              <w:rPr>
                <w:rFonts w:eastAsia="Times New Roman"/>
              </w:rPr>
              <w:t xml:space="preserve">score </w:t>
            </w:r>
            <w:r w:rsidRPr="00D076AD">
              <w:rPr>
                <w:rFonts w:eastAsia="Times New Roman"/>
              </w:rPr>
              <w:t xml:space="preserve">is then </w:t>
            </w:r>
            <w:r w:rsidR="00401027" w:rsidRPr="00D076AD">
              <w:rPr>
                <w:rFonts w:eastAsia="Times New Roman"/>
              </w:rPr>
              <w:t xml:space="preserve">added to other factors through </w:t>
            </w:r>
            <w:r w:rsidR="00802C27" w:rsidRPr="00D076AD">
              <w:rPr>
                <w:rFonts w:eastAsia="Times New Roman"/>
              </w:rPr>
              <w:t xml:space="preserve">the calculation of a </w:t>
            </w:r>
            <w:r w:rsidR="00401027" w:rsidRPr="00D076AD">
              <w:rPr>
                <w:rFonts w:eastAsia="Times New Roman"/>
              </w:rPr>
              <w:t>weighted average</w:t>
            </w:r>
          </w:p>
        </w:tc>
        <w:tc>
          <w:tcPr>
            <w:tcW w:w="1283" w:type="dxa"/>
            <w:shd w:val="clear" w:color="auto" w:fill="auto"/>
            <w:vAlign w:val="center"/>
            <w:hideMark/>
          </w:tcPr>
          <w:p w14:paraId="1A05B1DE" w14:textId="77777777" w:rsidR="00C7157D" w:rsidRPr="00D076AD" w:rsidRDefault="00C7157D" w:rsidP="00D076AD">
            <w:pPr>
              <w:jc w:val="center"/>
              <w:rPr>
                <w:rFonts w:eastAsia="Times New Roman"/>
                <w:lang w:eastAsia="en-AU"/>
              </w:rPr>
            </w:pPr>
            <w:r w:rsidRPr="00D076AD">
              <w:rPr>
                <w:rFonts w:eastAsia="Times New Roman"/>
                <w:lang w:eastAsia="en-AU"/>
              </w:rPr>
              <w:t>2A</w:t>
            </w:r>
          </w:p>
        </w:tc>
        <w:tc>
          <w:tcPr>
            <w:tcW w:w="1905" w:type="dxa"/>
            <w:shd w:val="clear" w:color="auto" w:fill="auto"/>
            <w:vAlign w:val="center"/>
            <w:hideMark/>
          </w:tcPr>
          <w:p w14:paraId="67855289" w14:textId="77777777" w:rsidR="00C7157D" w:rsidRPr="00D076AD" w:rsidRDefault="00C7157D" w:rsidP="00D076AD">
            <w:pPr>
              <w:jc w:val="center"/>
              <w:rPr>
                <w:rFonts w:eastAsia="Times New Roman"/>
                <w:lang w:eastAsia="en-AU"/>
              </w:rPr>
            </w:pPr>
            <w:r w:rsidRPr="00D076AD">
              <w:rPr>
                <w:rFonts w:eastAsia="Times New Roman"/>
                <w:lang w:eastAsia="en-AU"/>
              </w:rPr>
              <w:t>2B</w:t>
            </w:r>
          </w:p>
        </w:tc>
        <w:tc>
          <w:tcPr>
            <w:tcW w:w="2044" w:type="dxa"/>
            <w:shd w:val="clear" w:color="auto" w:fill="auto"/>
            <w:vAlign w:val="center"/>
            <w:hideMark/>
          </w:tcPr>
          <w:p w14:paraId="00BC3727" w14:textId="77777777" w:rsidR="00C7157D" w:rsidRPr="00D076AD" w:rsidRDefault="00C7157D" w:rsidP="00D076AD">
            <w:pPr>
              <w:jc w:val="center"/>
              <w:rPr>
                <w:rFonts w:eastAsia="Times New Roman"/>
                <w:lang w:eastAsia="en-AU"/>
              </w:rPr>
            </w:pPr>
            <w:r w:rsidRPr="00D076AD">
              <w:rPr>
                <w:rFonts w:eastAsia="Times New Roman"/>
                <w:lang w:eastAsia="en-AU"/>
              </w:rPr>
              <w:t>2C</w:t>
            </w:r>
          </w:p>
        </w:tc>
      </w:tr>
      <w:tr w:rsidR="00D076AD" w:rsidRPr="00D076AD" w14:paraId="236A0B16" w14:textId="77777777" w:rsidTr="00D076AD">
        <w:trPr>
          <w:trHeight w:val="527"/>
          <w:jc w:val="right"/>
        </w:trPr>
        <w:tc>
          <w:tcPr>
            <w:tcW w:w="1337" w:type="dxa"/>
            <w:vMerge/>
            <w:shd w:val="clear" w:color="auto" w:fill="auto"/>
            <w:vAlign w:val="center"/>
            <w:hideMark/>
          </w:tcPr>
          <w:p w14:paraId="4184A986" w14:textId="77777777" w:rsidR="00C7157D" w:rsidRPr="00D076AD" w:rsidRDefault="00C7157D" w:rsidP="00D076AD">
            <w:pPr>
              <w:rPr>
                <w:b/>
                <w:bCs/>
                <w:szCs w:val="16"/>
                <w:shd w:val="clear" w:color="auto" w:fill="333333"/>
              </w:rPr>
            </w:pPr>
          </w:p>
        </w:tc>
        <w:tc>
          <w:tcPr>
            <w:tcW w:w="2596" w:type="dxa"/>
            <w:shd w:val="clear" w:color="auto" w:fill="auto"/>
            <w:vAlign w:val="center"/>
            <w:hideMark/>
          </w:tcPr>
          <w:p w14:paraId="4F790818" w14:textId="6CA9962E" w:rsidR="00C7157D" w:rsidRPr="00D076AD" w:rsidRDefault="00C7157D" w:rsidP="00D076AD">
            <w:pPr>
              <w:rPr>
                <w:rFonts w:eastAsia="Times New Roman"/>
              </w:rPr>
            </w:pPr>
            <w:r w:rsidRPr="00D076AD">
              <w:rPr>
                <w:rFonts w:eastAsia="Times New Roman"/>
              </w:rPr>
              <w:t xml:space="preserve">3: Key metrics are treated like non-key metrics </w:t>
            </w:r>
            <w:r w:rsidR="00802C27" w:rsidRPr="00D076AD">
              <w:rPr>
                <w:rFonts w:eastAsia="Times New Roman"/>
              </w:rPr>
              <w:t>(additive</w:t>
            </w:r>
            <w:r w:rsidR="00C719EA" w:rsidRPr="00D076AD">
              <w:rPr>
                <w:rFonts w:eastAsia="Times New Roman"/>
              </w:rPr>
              <w:t>)</w:t>
            </w:r>
            <w:r w:rsidR="00802C27" w:rsidRPr="00D076AD">
              <w:rPr>
                <w:rFonts w:eastAsia="Times New Roman"/>
              </w:rPr>
              <w:t xml:space="preserve">, but </w:t>
            </w:r>
            <w:r w:rsidRPr="00D076AD">
              <w:rPr>
                <w:rFonts w:eastAsia="Times New Roman"/>
              </w:rPr>
              <w:t>with extra weighting</w:t>
            </w:r>
          </w:p>
        </w:tc>
        <w:tc>
          <w:tcPr>
            <w:tcW w:w="1283" w:type="dxa"/>
            <w:shd w:val="clear" w:color="auto" w:fill="auto"/>
            <w:vAlign w:val="center"/>
            <w:hideMark/>
          </w:tcPr>
          <w:p w14:paraId="71386D4A" w14:textId="77777777" w:rsidR="00C7157D" w:rsidRPr="00D076AD" w:rsidRDefault="00C7157D" w:rsidP="00D076AD">
            <w:pPr>
              <w:jc w:val="center"/>
              <w:rPr>
                <w:rFonts w:eastAsia="Times New Roman"/>
                <w:lang w:eastAsia="en-AU"/>
              </w:rPr>
            </w:pPr>
            <w:r w:rsidRPr="00D076AD">
              <w:rPr>
                <w:rFonts w:eastAsia="Times New Roman"/>
                <w:lang w:eastAsia="en-AU"/>
              </w:rPr>
              <w:t>3A</w:t>
            </w:r>
          </w:p>
        </w:tc>
        <w:tc>
          <w:tcPr>
            <w:tcW w:w="1905" w:type="dxa"/>
            <w:shd w:val="clear" w:color="auto" w:fill="auto"/>
            <w:vAlign w:val="center"/>
            <w:hideMark/>
          </w:tcPr>
          <w:p w14:paraId="1CC5914B" w14:textId="77777777" w:rsidR="00C7157D" w:rsidRPr="00D076AD" w:rsidRDefault="00C7157D" w:rsidP="00D076AD">
            <w:pPr>
              <w:jc w:val="center"/>
              <w:rPr>
                <w:rFonts w:eastAsia="Times New Roman"/>
                <w:lang w:eastAsia="en-AU"/>
              </w:rPr>
            </w:pPr>
            <w:r w:rsidRPr="00D076AD">
              <w:rPr>
                <w:rFonts w:eastAsia="Times New Roman"/>
                <w:lang w:eastAsia="en-AU"/>
              </w:rPr>
              <w:t>3B</w:t>
            </w:r>
          </w:p>
        </w:tc>
        <w:tc>
          <w:tcPr>
            <w:tcW w:w="2044" w:type="dxa"/>
            <w:shd w:val="clear" w:color="auto" w:fill="auto"/>
            <w:vAlign w:val="center"/>
            <w:hideMark/>
          </w:tcPr>
          <w:p w14:paraId="6263A2D1" w14:textId="77777777" w:rsidR="00C7157D" w:rsidRPr="00D076AD" w:rsidRDefault="00C7157D" w:rsidP="00D076AD">
            <w:pPr>
              <w:jc w:val="center"/>
              <w:rPr>
                <w:rFonts w:eastAsia="Times New Roman"/>
                <w:lang w:eastAsia="en-AU"/>
              </w:rPr>
            </w:pPr>
            <w:r w:rsidRPr="00D076AD">
              <w:rPr>
                <w:rFonts w:eastAsia="Times New Roman"/>
                <w:lang w:eastAsia="en-AU"/>
              </w:rPr>
              <w:t>3C</w:t>
            </w:r>
          </w:p>
        </w:tc>
      </w:tr>
    </w:tbl>
    <w:p w14:paraId="7C709709" w14:textId="77777777" w:rsidR="00667FBA" w:rsidRPr="00667FBA" w:rsidRDefault="00667FBA" w:rsidP="00667FBA">
      <w:pPr>
        <w:rPr>
          <w:rFonts w:eastAsia="Times New Roman"/>
        </w:rPr>
      </w:pPr>
    </w:p>
    <w:p w14:paraId="100F2FD9" w14:textId="6F2BBFF9" w:rsidR="00166738" w:rsidRDefault="001B600C" w:rsidP="006172B9">
      <w:pPr>
        <w:pStyle w:val="Heading3"/>
        <w:spacing w:after="0"/>
      </w:pPr>
      <w:r>
        <w:t>Verification</w:t>
      </w:r>
    </w:p>
    <w:p w14:paraId="123F5FA2" w14:textId="3DCF57DC" w:rsidR="00691CE0" w:rsidRDefault="00691CE0" w:rsidP="00691CE0">
      <w:r>
        <w:t>With nine</w:t>
      </w:r>
      <w:r w:rsidR="00667FBA">
        <w:t xml:space="preserve"> method</w:t>
      </w:r>
      <w:r>
        <w:t xml:space="preserve"> options </w:t>
      </w:r>
      <w:r w:rsidR="00802C27">
        <w:t xml:space="preserve">being </w:t>
      </w:r>
      <w:r w:rsidR="00401027">
        <w:t xml:space="preserve">trialled, </w:t>
      </w:r>
      <w:r w:rsidR="00A910F8">
        <w:t>logic checking</w:t>
      </w:r>
      <w:r>
        <w:t xml:space="preserve"> </w:t>
      </w:r>
      <w:r w:rsidR="00401027">
        <w:t xml:space="preserve">was used </w:t>
      </w:r>
      <w:r>
        <w:t>to determine which was the most appropriate</w:t>
      </w:r>
      <w:r w:rsidR="00401027">
        <w:t xml:space="preserve"> to ensure the results were </w:t>
      </w:r>
      <w:r w:rsidR="00B15C97">
        <w:t>sound</w:t>
      </w:r>
      <w:r w:rsidR="0036491A">
        <w:t xml:space="preserve"> and </w:t>
      </w:r>
      <w:r w:rsidR="00B15C97">
        <w:t>robust</w:t>
      </w:r>
      <w:r>
        <w:t xml:space="preserve">. </w:t>
      </w:r>
      <w:r w:rsidR="002661F5">
        <w:t>T</w:t>
      </w:r>
      <w:r w:rsidR="00667FBA">
        <w:t>en</w:t>
      </w:r>
      <w:r>
        <w:t xml:space="preserve"> countries </w:t>
      </w:r>
      <w:r w:rsidR="00802C27">
        <w:t xml:space="preserve">expected to be quite different </w:t>
      </w:r>
      <w:r>
        <w:t>were selected</w:t>
      </w:r>
      <w:r w:rsidR="00802C27" w:rsidRPr="00802C27">
        <w:t xml:space="preserve"> </w:t>
      </w:r>
      <w:r w:rsidR="00802C27">
        <w:t>to logic check the results</w:t>
      </w:r>
      <w:r>
        <w:t xml:space="preserve">. The method that produced results closest to what should be </w:t>
      </w:r>
      <w:r w:rsidR="00667FBA">
        <w:t xml:space="preserve">logically </w:t>
      </w:r>
      <w:r>
        <w:t xml:space="preserve">expected </w:t>
      </w:r>
      <w:r w:rsidR="00802C27">
        <w:t>was</w:t>
      </w:r>
      <w:r>
        <w:t xml:space="preserve"> </w:t>
      </w:r>
      <w:r w:rsidR="00802C27">
        <w:t xml:space="preserve">selected </w:t>
      </w:r>
      <w:r>
        <w:t xml:space="preserve">as the </w:t>
      </w:r>
      <w:r w:rsidR="00802C27">
        <w:t xml:space="preserve">most appropriate </w:t>
      </w:r>
      <w:r>
        <w:t>method.</w:t>
      </w:r>
    </w:p>
    <w:p w14:paraId="289CC383" w14:textId="513A0D48" w:rsidR="00691CE0" w:rsidRDefault="00691CE0" w:rsidP="00691CE0">
      <w:r>
        <w:t>The following countries were selected to verify the method</w:t>
      </w:r>
      <w:r w:rsidR="00667FBA">
        <w:t>.</w:t>
      </w:r>
    </w:p>
    <w:p w14:paraId="35A6385B" w14:textId="4F89D257" w:rsidR="00691CE0" w:rsidRDefault="00691CE0" w:rsidP="00691CE0">
      <w:pPr>
        <w:pStyle w:val="ListParagraph"/>
        <w:numPr>
          <w:ilvl w:val="0"/>
          <w:numId w:val="22"/>
        </w:numPr>
      </w:pPr>
      <w:r>
        <w:lastRenderedPageBreak/>
        <w:t>Case study countries: India and Vietnam</w:t>
      </w:r>
    </w:p>
    <w:p w14:paraId="75572EA4" w14:textId="3AC33AEF" w:rsidR="00691CE0" w:rsidRDefault="00691CE0" w:rsidP="00691CE0">
      <w:pPr>
        <w:pStyle w:val="ListParagraph"/>
        <w:numPr>
          <w:ilvl w:val="0"/>
          <w:numId w:val="22"/>
        </w:numPr>
      </w:pPr>
      <w:r>
        <w:t>Representative countries from South Asia: Nepal (along with India)</w:t>
      </w:r>
    </w:p>
    <w:p w14:paraId="08877EFF" w14:textId="241B765D" w:rsidR="00691CE0" w:rsidRDefault="00691CE0" w:rsidP="00691CE0">
      <w:pPr>
        <w:pStyle w:val="ListParagraph"/>
        <w:numPr>
          <w:ilvl w:val="0"/>
          <w:numId w:val="22"/>
        </w:numPr>
      </w:pPr>
      <w:r>
        <w:t>Representative countries from Central West Asia: Kazakhstan and Afghanistan</w:t>
      </w:r>
    </w:p>
    <w:p w14:paraId="4C989E55" w14:textId="48967B97" w:rsidR="00691CE0" w:rsidRDefault="00691CE0" w:rsidP="00691CE0">
      <w:pPr>
        <w:pStyle w:val="ListParagraph"/>
        <w:numPr>
          <w:ilvl w:val="0"/>
          <w:numId w:val="22"/>
        </w:numPr>
      </w:pPr>
      <w:r>
        <w:t>Representative countries from the Pacific: Fiji and the Solomon Islands</w:t>
      </w:r>
    </w:p>
    <w:p w14:paraId="50103083" w14:textId="1CF9B355" w:rsidR="00691CE0" w:rsidRDefault="00691CE0" w:rsidP="00691CE0">
      <w:pPr>
        <w:pStyle w:val="ListParagraph"/>
        <w:numPr>
          <w:ilvl w:val="0"/>
          <w:numId w:val="22"/>
        </w:numPr>
      </w:pPr>
      <w:r>
        <w:t xml:space="preserve">Representative countries from South East Asia: Cambodia and </w:t>
      </w:r>
      <w:r w:rsidR="001326AC">
        <w:t>Laos</w:t>
      </w:r>
      <w:r>
        <w:t xml:space="preserve"> (along with Vietnam)</w:t>
      </w:r>
    </w:p>
    <w:p w14:paraId="3261740F" w14:textId="01A704B1" w:rsidR="00667FBA" w:rsidRDefault="00667FBA" w:rsidP="00691CE0">
      <w:pPr>
        <w:pStyle w:val="ListParagraph"/>
        <w:numPr>
          <w:ilvl w:val="0"/>
          <w:numId w:val="22"/>
        </w:numPr>
      </w:pPr>
      <w:r>
        <w:t>Representative country from Advanced Economies: Singapore</w:t>
      </w:r>
    </w:p>
    <w:p w14:paraId="2E5ADFBA" w14:textId="1E4BA102" w:rsidR="00691CE0" w:rsidRDefault="00691CE0" w:rsidP="00691CE0">
      <w:r>
        <w:t xml:space="preserve">Following </w:t>
      </w:r>
      <w:r w:rsidR="00802C27">
        <w:t xml:space="preserve">this </w:t>
      </w:r>
      <w:r>
        <w:t xml:space="preserve">verification </w:t>
      </w:r>
      <w:r w:rsidR="00802C27">
        <w:t xml:space="preserve">step, </w:t>
      </w:r>
      <w:r>
        <w:t>method 2B was selected</w:t>
      </w:r>
      <w:r w:rsidR="009C5D48">
        <w:t>, with countries being ranked for each metric, with key metrics multipl</w:t>
      </w:r>
      <w:r w:rsidR="002661F5">
        <w:t>ied</w:t>
      </w:r>
      <w:r w:rsidR="009C5D48">
        <w:t xml:space="preserve"> together before a weighted average is </w:t>
      </w:r>
      <w:r w:rsidR="002661F5">
        <w:t>us</w:t>
      </w:r>
      <w:r w:rsidR="009C5D48">
        <w:t>ed to find the temporal risk element score.</w:t>
      </w:r>
    </w:p>
    <w:p w14:paraId="3FD155CF" w14:textId="1E93A035" w:rsidR="00667FBA" w:rsidRDefault="00667FBA" w:rsidP="006172B9">
      <w:pPr>
        <w:pStyle w:val="Heading3"/>
        <w:spacing w:after="0"/>
      </w:pPr>
      <w:r>
        <w:t xml:space="preserve">Further </w:t>
      </w:r>
      <w:r w:rsidR="00764C13">
        <w:t>improvements</w:t>
      </w:r>
    </w:p>
    <w:p w14:paraId="2D53E5BA" w14:textId="10274F7A" w:rsidR="00667FBA" w:rsidRDefault="00667FBA" w:rsidP="00667FBA">
      <w:r>
        <w:t xml:space="preserve">Following the </w:t>
      </w:r>
      <w:r w:rsidR="00764C13">
        <w:t>verification,</w:t>
      </w:r>
      <w:r>
        <w:t xml:space="preserve"> the following minor </w:t>
      </w:r>
      <w:r w:rsidR="00650589">
        <w:t>improvements</w:t>
      </w:r>
      <w:r>
        <w:t xml:space="preserve"> were conducted to create the final </w:t>
      </w:r>
      <w:r w:rsidR="00764C13">
        <w:t>method.</w:t>
      </w:r>
    </w:p>
    <w:p w14:paraId="65023D97" w14:textId="5282CB0F" w:rsidR="00667FBA" w:rsidRDefault="00667FBA" w:rsidP="00667FBA">
      <w:pPr>
        <w:pStyle w:val="ListParagraph"/>
        <w:numPr>
          <w:ilvl w:val="0"/>
          <w:numId w:val="27"/>
        </w:numPr>
      </w:pPr>
      <w:r>
        <w:t xml:space="preserve">As </w:t>
      </w:r>
      <w:r w:rsidR="00802C27">
        <w:t xml:space="preserve">the passage of the </w:t>
      </w:r>
      <w:r>
        <w:t>COVID-19</w:t>
      </w:r>
      <w:r w:rsidR="00802C27">
        <w:t xml:space="preserve"> pandemic </w:t>
      </w:r>
      <w:r>
        <w:t>is well known internationally, all countries receive</w:t>
      </w:r>
      <w:r w:rsidR="00650589">
        <w:t>d</w:t>
      </w:r>
      <w:r>
        <w:t xml:space="preserve"> a perfect score for the </w:t>
      </w:r>
      <w:r w:rsidR="00650589">
        <w:t>a</w:t>
      </w:r>
      <w:r>
        <w:t xml:space="preserve">bility to stay alert. </w:t>
      </w:r>
      <w:r w:rsidR="0036491A">
        <w:t>Therefore, as it is no longer relevant to a comparative COVID-19 index, i</w:t>
      </w:r>
      <w:r>
        <w:t xml:space="preserve">t has </w:t>
      </w:r>
      <w:r w:rsidR="0036491A">
        <w:t>not been included in the calculations. However, as it would be relevant in any future pandemic, it is an important inclusion in the knowledge and literature and the ability to stay alert will remain in the framework.</w:t>
      </w:r>
    </w:p>
    <w:p w14:paraId="5D1CD426" w14:textId="750637C2" w:rsidR="00667FBA" w:rsidRPr="00667FBA" w:rsidRDefault="00667FBA" w:rsidP="00667FBA">
      <w:pPr>
        <w:pStyle w:val="ListParagraph"/>
        <w:numPr>
          <w:ilvl w:val="0"/>
          <w:numId w:val="27"/>
        </w:numPr>
      </w:pPr>
      <w:r>
        <w:t>The water security related elements for both the ability to contain and the ability to treat were calculated separately as well as together with all the factors to show how much of an impact water had on that temporal risk element.</w:t>
      </w:r>
    </w:p>
    <w:p w14:paraId="02C8F9E5" w14:textId="5B564655" w:rsidR="001326AC" w:rsidRDefault="001326AC" w:rsidP="006172B9">
      <w:pPr>
        <w:pStyle w:val="Heading3"/>
        <w:spacing w:after="0"/>
      </w:pPr>
      <w:r>
        <w:t xml:space="preserve">Final </w:t>
      </w:r>
      <w:r w:rsidR="00764C13">
        <w:t>calculation method</w:t>
      </w:r>
    </w:p>
    <w:p w14:paraId="041D55DA" w14:textId="1819A629" w:rsidR="00667FBA" w:rsidRDefault="00667FBA" w:rsidP="00667FBA">
      <w:r>
        <w:t>In summary the equation</w:t>
      </w:r>
      <w:r w:rsidR="00802C27">
        <w:t>s</w:t>
      </w:r>
      <w:r>
        <w:t xml:space="preserve"> used </w:t>
      </w:r>
      <w:r w:rsidR="00802C27">
        <w:t>were</w:t>
      </w:r>
      <w:r>
        <w:t>.</w:t>
      </w:r>
    </w:p>
    <w:p w14:paraId="2B083894" w14:textId="74420DBA" w:rsidR="006172B9" w:rsidRDefault="006172B9" w:rsidP="00667FBA">
      <w:r>
        <w:t xml:space="preserve">First the weighted average was used to find the risk element raw scores. Each score was </w:t>
      </w:r>
      <w:r w:rsidR="00430300">
        <w:t>between</w:t>
      </w:r>
      <w:r>
        <w:t xml:space="preserve"> 0 – 1, with 0 being the worst possible score and 1 being the best possible score.</w:t>
      </w:r>
    </w:p>
    <w:p w14:paraId="7473387A" w14:textId="697DBF1D" w:rsidR="00667FBA" w:rsidRDefault="00667FBA" w:rsidP="00D076AD">
      <w:pPr>
        <w:pStyle w:val="Caption"/>
      </w:pPr>
      <w:r w:rsidRPr="005D7D61">
        <w:t>Equation 1</w:t>
      </w:r>
      <w:r>
        <w:t>. Calculation of the temporal risk element</w:t>
      </w:r>
      <w:r w:rsidR="00802C27">
        <w:t xml:space="preserve"> </w:t>
      </w:r>
      <w:r w:rsidR="006172B9">
        <w:t xml:space="preserve">raw </w:t>
      </w:r>
      <w:r w:rsidR="009C5D48">
        <w:t>s</w:t>
      </w:r>
      <w:r w:rsidR="00802C27">
        <w:t>cores</w:t>
      </w:r>
    </w:p>
    <w:p w14:paraId="034A8793" w14:textId="3C5C2095" w:rsidR="00667FBA" w:rsidRPr="00DD3CEE" w:rsidRDefault="006172B9" w:rsidP="00667FBA">
      <w:pPr>
        <w:rPr>
          <w:color w:val="auto"/>
        </w:rPr>
      </w:pPr>
      <m:oMathPara>
        <m:oMath>
          <m:r>
            <w:rPr>
              <w:rFonts w:ascii="Cambria Math" w:hAnsi="Cambria Math"/>
              <w:color w:val="auto"/>
            </w:rPr>
            <m:t>Temporal risk element score=</m:t>
          </m:r>
          <m:d>
            <m:dPr>
              <m:ctrlPr>
                <w:rPr>
                  <w:rFonts w:ascii="Cambria Math" w:hAnsi="Cambria Math"/>
                  <w:i/>
                  <w:color w:val="auto"/>
                </w:rPr>
              </m:ctrlPr>
            </m:dPr>
            <m:e>
              <m:f>
                <m:fPr>
                  <m:ctrlPr>
                    <w:rPr>
                      <w:rFonts w:ascii="Cambria Math" w:hAnsi="Cambria Math"/>
                      <w:i/>
                      <w:color w:val="auto"/>
                    </w:rPr>
                  </m:ctrlPr>
                </m:fPr>
                <m:num>
                  <m:nary>
                    <m:naryPr>
                      <m:chr m:val="∑"/>
                      <m:limLoc m:val="undOvr"/>
                      <m:ctrlPr>
                        <w:rPr>
                          <w:rFonts w:ascii="Cambria Math" w:hAnsi="Cambria Math"/>
                          <w:i/>
                          <w:color w:val="auto"/>
                        </w:rPr>
                      </m:ctrlPr>
                    </m:naryPr>
                    <m:sub>
                      <m:r>
                        <w:rPr>
                          <w:rFonts w:ascii="Cambria Math" w:hAnsi="Cambria Math"/>
                          <w:color w:val="auto"/>
                        </w:rPr>
                        <m:t>j=1</m:t>
                      </m:r>
                    </m:sub>
                    <m:sup>
                      <m:r>
                        <w:rPr>
                          <w:rFonts w:ascii="Cambria Math" w:hAnsi="Cambria Math"/>
                          <w:color w:val="auto"/>
                        </w:rPr>
                        <m:t>y</m:t>
                      </m:r>
                    </m:sup>
                    <m:e>
                      <m:r>
                        <w:rPr>
                          <w:rFonts w:ascii="Cambria Math" w:hAnsi="Cambria Math"/>
                          <w:color w:val="auto"/>
                        </w:rPr>
                        <m:t>(</m:t>
                      </m:r>
                      <m:sSub>
                        <m:sSubPr>
                          <m:ctrlPr>
                            <w:rPr>
                              <w:rFonts w:ascii="Cambria Math" w:hAnsi="Cambria Math"/>
                              <w:i/>
                              <w:color w:val="auto"/>
                            </w:rPr>
                          </m:ctrlPr>
                        </m:sSubPr>
                        <m:e>
                          <m:r>
                            <w:rPr>
                              <w:rFonts w:ascii="Cambria Math" w:hAnsi="Cambria Math"/>
                              <w:color w:val="auto"/>
                            </w:rPr>
                            <m:t>W</m:t>
                          </m:r>
                        </m:e>
                        <m:sub>
                          <m:r>
                            <w:rPr>
                              <w:rFonts w:ascii="Cambria Math" w:hAnsi="Cambria Math"/>
                              <w:color w:val="auto"/>
                            </w:rPr>
                            <m:t>Factorj</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Factor</m:t>
                          </m:r>
                        </m:e>
                        <m:sub>
                          <m:r>
                            <w:rPr>
                              <w:rFonts w:ascii="Cambria Math" w:hAnsi="Cambria Math"/>
                              <w:color w:val="auto"/>
                            </w:rPr>
                            <m:t>j</m:t>
                          </m:r>
                        </m:sub>
                      </m:sSub>
                      <m:r>
                        <w:rPr>
                          <w:rFonts w:ascii="Cambria Math" w:hAnsi="Cambria Math"/>
                          <w:color w:val="auto"/>
                        </w:rPr>
                        <m:t>)</m:t>
                      </m:r>
                    </m:e>
                  </m:nary>
                </m:num>
                <m:den>
                  <m:nary>
                    <m:naryPr>
                      <m:chr m:val="∑"/>
                      <m:limLoc m:val="undOvr"/>
                      <m:ctrlPr>
                        <w:rPr>
                          <w:rFonts w:ascii="Cambria Math" w:hAnsi="Cambria Math"/>
                          <w:i/>
                          <w:color w:val="auto"/>
                        </w:rPr>
                      </m:ctrlPr>
                    </m:naryPr>
                    <m:sub>
                      <m:r>
                        <w:rPr>
                          <w:rFonts w:ascii="Cambria Math" w:hAnsi="Cambria Math"/>
                          <w:color w:val="auto"/>
                        </w:rPr>
                        <m:t>j=1</m:t>
                      </m:r>
                    </m:sub>
                    <m:sup>
                      <m:r>
                        <w:rPr>
                          <w:rFonts w:ascii="Cambria Math" w:hAnsi="Cambria Math"/>
                          <w:color w:val="auto"/>
                        </w:rPr>
                        <m:t>y</m:t>
                      </m:r>
                    </m:sup>
                    <m:e>
                      <m:r>
                        <w:rPr>
                          <w:rFonts w:ascii="Cambria Math" w:hAnsi="Cambria Math"/>
                          <w:color w:val="auto"/>
                        </w:rPr>
                        <m:t>(</m:t>
                      </m:r>
                      <m:sSub>
                        <m:sSubPr>
                          <m:ctrlPr>
                            <w:rPr>
                              <w:rFonts w:ascii="Cambria Math" w:hAnsi="Cambria Math"/>
                              <w:i/>
                              <w:color w:val="auto"/>
                            </w:rPr>
                          </m:ctrlPr>
                        </m:sSubPr>
                        <m:e>
                          <m:r>
                            <w:rPr>
                              <w:rFonts w:ascii="Cambria Math" w:hAnsi="Cambria Math"/>
                              <w:color w:val="auto"/>
                            </w:rPr>
                            <m:t>W</m:t>
                          </m:r>
                        </m:e>
                        <m:sub>
                          <m:r>
                            <w:rPr>
                              <w:rFonts w:ascii="Cambria Math" w:hAnsi="Cambria Math"/>
                              <w:color w:val="auto"/>
                            </w:rPr>
                            <m:t>Factorj</m:t>
                          </m:r>
                        </m:sub>
                      </m:sSub>
                      <m:r>
                        <w:rPr>
                          <w:rFonts w:ascii="Cambria Math" w:hAnsi="Cambria Math"/>
                          <w:color w:val="auto"/>
                        </w:rPr>
                        <m:t>)</m:t>
                      </m:r>
                    </m:e>
                  </m:nary>
                </m:den>
              </m:f>
            </m:e>
          </m:d>
        </m:oMath>
      </m:oMathPara>
    </w:p>
    <w:p w14:paraId="5D3FD191" w14:textId="77777777" w:rsidR="00667FBA" w:rsidRPr="002C7507" w:rsidRDefault="00667FBA" w:rsidP="00667FBA">
      <w:pPr>
        <w:spacing w:after="0"/>
        <w:rPr>
          <w:color w:val="auto"/>
        </w:rPr>
      </w:pPr>
      <w:r w:rsidRPr="002C7507">
        <w:rPr>
          <w:color w:val="auto"/>
        </w:rPr>
        <w:t>Where:</w:t>
      </w:r>
    </w:p>
    <w:p w14:paraId="7457863C" w14:textId="78D7A6D9" w:rsidR="00667FBA" w:rsidRDefault="00667FBA" w:rsidP="00667FBA">
      <w:pPr>
        <w:pStyle w:val="ListParagraph"/>
        <w:numPr>
          <w:ilvl w:val="0"/>
          <w:numId w:val="18"/>
        </w:numPr>
        <w:spacing w:after="0"/>
        <w:rPr>
          <w:color w:val="auto"/>
        </w:rPr>
      </w:pPr>
      <w:proofErr w:type="spellStart"/>
      <w:r w:rsidRPr="006172B9">
        <w:rPr>
          <w:i/>
          <w:iCs/>
          <w:color w:val="auto"/>
        </w:rPr>
        <w:t>W</w:t>
      </w:r>
      <w:r w:rsidR="0021418C" w:rsidRPr="006172B9">
        <w:rPr>
          <w:i/>
          <w:iCs/>
          <w:color w:val="auto"/>
          <w:vertAlign w:val="subscript"/>
        </w:rPr>
        <w:t>Factorj</w:t>
      </w:r>
      <w:proofErr w:type="spellEnd"/>
      <w:r w:rsidRPr="002C7507">
        <w:rPr>
          <w:color w:val="auto"/>
        </w:rPr>
        <w:t xml:space="preserve"> = Overall weighting factor</w:t>
      </w:r>
      <w:r w:rsidR="0021418C">
        <w:rPr>
          <w:color w:val="auto"/>
        </w:rPr>
        <w:t xml:space="preserve"> for risk factor (</w:t>
      </w:r>
      <w:r w:rsidR="0021418C" w:rsidRPr="006172B9">
        <w:rPr>
          <w:i/>
          <w:iCs/>
          <w:color w:val="auto"/>
        </w:rPr>
        <w:t>j</w:t>
      </w:r>
      <w:r w:rsidR="0021418C">
        <w:rPr>
          <w:color w:val="auto"/>
        </w:rPr>
        <w:t>)</w:t>
      </w:r>
    </w:p>
    <w:p w14:paraId="0428DCEE" w14:textId="5C575874" w:rsidR="0021418C" w:rsidRPr="002C7507" w:rsidRDefault="0021418C" w:rsidP="00667FBA">
      <w:pPr>
        <w:pStyle w:val="ListParagraph"/>
        <w:numPr>
          <w:ilvl w:val="0"/>
          <w:numId w:val="18"/>
        </w:numPr>
        <w:spacing w:after="0"/>
        <w:rPr>
          <w:color w:val="auto"/>
        </w:rPr>
      </w:pPr>
      <w:proofErr w:type="spellStart"/>
      <w:r w:rsidRPr="006172B9">
        <w:rPr>
          <w:i/>
          <w:iCs/>
          <w:color w:val="auto"/>
        </w:rPr>
        <w:t>Factor</w:t>
      </w:r>
      <w:r w:rsidR="000E1643" w:rsidRPr="006172B9">
        <w:rPr>
          <w:i/>
          <w:iCs/>
          <w:color w:val="auto"/>
          <w:vertAlign w:val="subscript"/>
        </w:rPr>
        <w:t>j</w:t>
      </w:r>
      <w:proofErr w:type="spellEnd"/>
      <w:r w:rsidR="000E1643">
        <w:rPr>
          <w:color w:val="auto"/>
        </w:rPr>
        <w:t xml:space="preserve"> = Country specific </w:t>
      </w:r>
      <w:r w:rsidR="006172B9">
        <w:rPr>
          <w:color w:val="auto"/>
        </w:rPr>
        <w:t>rank</w:t>
      </w:r>
      <w:r w:rsidR="000E1643">
        <w:rPr>
          <w:color w:val="auto"/>
        </w:rPr>
        <w:t xml:space="preserve"> of risk factor (</w:t>
      </w:r>
      <w:r w:rsidR="000E1643" w:rsidRPr="006172B9">
        <w:rPr>
          <w:i/>
          <w:iCs/>
          <w:color w:val="auto"/>
        </w:rPr>
        <w:t>j</w:t>
      </w:r>
      <w:r w:rsidR="000E1643">
        <w:rPr>
          <w:color w:val="auto"/>
        </w:rPr>
        <w:t>)</w:t>
      </w:r>
    </w:p>
    <w:p w14:paraId="397A55F6" w14:textId="6798A0F9" w:rsidR="00667FBA" w:rsidRDefault="00667FBA" w:rsidP="00667FBA">
      <w:pPr>
        <w:pStyle w:val="ListParagraph"/>
        <w:numPr>
          <w:ilvl w:val="0"/>
          <w:numId w:val="18"/>
        </w:numPr>
        <w:rPr>
          <w:color w:val="auto"/>
        </w:rPr>
      </w:pPr>
      <w:r w:rsidRPr="002C7507">
        <w:rPr>
          <w:color w:val="auto"/>
        </w:rPr>
        <w:t>y = the number of factors</w:t>
      </w:r>
    </w:p>
    <w:p w14:paraId="65646113" w14:textId="26CAF0A5" w:rsidR="006172B9" w:rsidRDefault="006172B9" w:rsidP="006172B9">
      <w:pPr>
        <w:rPr>
          <w:color w:val="auto"/>
        </w:rPr>
      </w:pPr>
      <w:r>
        <w:rPr>
          <w:color w:val="auto"/>
        </w:rPr>
        <w:lastRenderedPageBreak/>
        <w:t xml:space="preserve">A second equation was used to normalise and convert the raw scores into the risk element rating </w:t>
      </w:r>
      <w:r w:rsidR="00430300">
        <w:rPr>
          <w:color w:val="auto"/>
        </w:rPr>
        <w:t>between</w:t>
      </w:r>
      <w:r>
        <w:rPr>
          <w:color w:val="auto"/>
        </w:rPr>
        <w:t xml:space="preserve"> 1 – 5, with 1 being the lowest risk and 5 being the highest risk.</w:t>
      </w:r>
      <w:r w:rsidR="002D6A18">
        <w:rPr>
          <w:color w:val="auto"/>
        </w:rPr>
        <w:t xml:space="preserve"> As shown in Equation 2</w:t>
      </w:r>
    </w:p>
    <w:p w14:paraId="6CF98EC5" w14:textId="09D8D673" w:rsidR="00430300" w:rsidRDefault="00430300" w:rsidP="00D076AD">
      <w:pPr>
        <w:pStyle w:val="Caption"/>
      </w:pPr>
      <w:r w:rsidRPr="00D076AD">
        <w:t>Equation 2. Calculation of the temporal risk element rating</w:t>
      </w:r>
    </w:p>
    <w:p w14:paraId="441031A9" w14:textId="486ADEF7" w:rsidR="00430300" w:rsidRPr="00430300" w:rsidRDefault="00430300" w:rsidP="006172B9">
      <w:pPr>
        <w:rPr>
          <w:color w:val="auto"/>
        </w:rPr>
      </w:pPr>
      <m:oMathPara>
        <m:oMath>
          <m:r>
            <w:rPr>
              <w:rFonts w:ascii="Cambria Math" w:hAnsi="Cambria Math"/>
              <w:color w:val="auto"/>
            </w:rPr>
            <m:t>Temporal risk element rating=1+</m:t>
          </m:r>
          <m:d>
            <m:dPr>
              <m:ctrlPr>
                <w:rPr>
                  <w:rFonts w:ascii="Cambria Math" w:hAnsi="Cambria Math"/>
                  <w:i/>
                  <w:color w:val="auto"/>
                </w:rPr>
              </m:ctrlPr>
            </m:dPr>
            <m:e>
              <m:r>
                <w:rPr>
                  <w:rFonts w:ascii="Cambria Math" w:hAnsi="Cambria Math"/>
                  <w:color w:val="auto"/>
                </w:rPr>
                <m:t>4 ×</m:t>
              </m:r>
              <m:d>
                <m:dPr>
                  <m:ctrlPr>
                    <w:rPr>
                      <w:rFonts w:ascii="Cambria Math" w:hAnsi="Cambria Math"/>
                      <w:i/>
                      <w:color w:val="auto"/>
                    </w:rPr>
                  </m:ctrlPr>
                </m:dPr>
                <m:e>
                  <m:f>
                    <m:fPr>
                      <m:ctrlPr>
                        <w:rPr>
                          <w:rFonts w:ascii="Cambria Math" w:hAnsi="Cambria Math"/>
                          <w:i/>
                          <w:color w:val="auto"/>
                        </w:rPr>
                      </m:ctrlPr>
                    </m:fPr>
                    <m:num>
                      <m:r>
                        <w:rPr>
                          <w:rFonts w:ascii="Cambria Math" w:hAnsi="Cambria Math"/>
                          <w:color w:val="auto"/>
                        </w:rPr>
                        <m:t>1-(</m:t>
                      </m:r>
                      <m:sSub>
                        <m:sSubPr>
                          <m:ctrlPr>
                            <w:rPr>
                              <w:rFonts w:ascii="Cambria Math" w:hAnsi="Cambria Math"/>
                              <w:i/>
                              <w:color w:val="auto"/>
                            </w:rPr>
                          </m:ctrlPr>
                        </m:sSubPr>
                        <m:e>
                          <m:r>
                            <w:rPr>
                              <w:rFonts w:ascii="Cambria Math" w:hAnsi="Cambria Math"/>
                              <w:color w:val="auto"/>
                            </w:rPr>
                            <m:t>TRES</m:t>
                          </m:r>
                        </m:e>
                        <m:sub>
                          <m:r>
                            <w:rPr>
                              <w:rFonts w:ascii="Cambria Math" w:hAnsi="Cambria Math"/>
                              <w:color w:val="auto"/>
                            </w:rPr>
                            <m:t>C</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TRES</m:t>
                          </m:r>
                        </m:e>
                        <m:sub>
                          <m:r>
                            <w:rPr>
                              <w:rFonts w:ascii="Cambria Math" w:hAnsi="Cambria Math"/>
                              <w:color w:val="auto"/>
                            </w:rPr>
                            <m:t>min</m:t>
                          </m:r>
                        </m:sub>
                      </m:sSub>
                      <m:r>
                        <w:rPr>
                          <w:rFonts w:ascii="Cambria Math" w:hAnsi="Cambria Math"/>
                          <w:color w:val="auto"/>
                        </w:rPr>
                        <m:t>)</m:t>
                      </m:r>
                    </m:num>
                    <m:den>
                      <m:sSub>
                        <m:sSubPr>
                          <m:ctrlPr>
                            <w:rPr>
                              <w:rFonts w:ascii="Cambria Math" w:hAnsi="Cambria Math"/>
                              <w:i/>
                              <w:color w:val="auto"/>
                            </w:rPr>
                          </m:ctrlPr>
                        </m:sSubPr>
                        <m:e>
                          <m:r>
                            <w:rPr>
                              <w:rFonts w:ascii="Cambria Math" w:hAnsi="Cambria Math"/>
                              <w:color w:val="auto"/>
                            </w:rPr>
                            <m:t>TRES</m:t>
                          </m:r>
                        </m:e>
                        <m:sub>
                          <m:r>
                            <w:rPr>
                              <w:rFonts w:ascii="Cambria Math" w:hAnsi="Cambria Math"/>
                              <w:color w:val="auto"/>
                            </w:rPr>
                            <m:t>max</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TRES</m:t>
                          </m:r>
                        </m:e>
                        <m:sub>
                          <m:r>
                            <w:rPr>
                              <w:rFonts w:ascii="Cambria Math" w:hAnsi="Cambria Math"/>
                              <w:color w:val="auto"/>
                            </w:rPr>
                            <m:t>min</m:t>
                          </m:r>
                        </m:sub>
                      </m:sSub>
                    </m:den>
                  </m:f>
                </m:e>
              </m:d>
            </m:e>
          </m:d>
        </m:oMath>
      </m:oMathPara>
    </w:p>
    <w:p w14:paraId="7A4C88FC" w14:textId="77777777" w:rsidR="00430300" w:rsidRDefault="00430300" w:rsidP="00430300">
      <w:pPr>
        <w:spacing w:after="0"/>
        <w:rPr>
          <w:color w:val="auto"/>
        </w:rPr>
      </w:pPr>
      <w:r w:rsidRPr="002C7507">
        <w:rPr>
          <w:color w:val="auto"/>
        </w:rPr>
        <w:t>Where:</w:t>
      </w:r>
    </w:p>
    <w:p w14:paraId="2DF703EB" w14:textId="369FFCA7" w:rsidR="00430300" w:rsidRDefault="00430300" w:rsidP="00430300">
      <w:pPr>
        <w:pStyle w:val="ListParagraph"/>
        <w:numPr>
          <w:ilvl w:val="0"/>
          <w:numId w:val="30"/>
        </w:numPr>
        <w:spacing w:after="0"/>
        <w:rPr>
          <w:color w:val="auto"/>
        </w:rPr>
      </w:pPr>
      <w:r w:rsidRPr="00430300">
        <w:rPr>
          <w:i/>
          <w:iCs/>
          <w:color w:val="auto"/>
        </w:rPr>
        <w:t>TRES</w:t>
      </w:r>
      <w:r>
        <w:rPr>
          <w:i/>
          <w:iCs/>
          <w:color w:val="auto"/>
          <w:vertAlign w:val="subscript"/>
        </w:rPr>
        <w:t>C</w:t>
      </w:r>
      <w:r>
        <w:rPr>
          <w:color w:val="auto"/>
          <w:vertAlign w:val="subscript"/>
        </w:rPr>
        <w:t xml:space="preserve"> </w:t>
      </w:r>
      <w:r w:rsidRPr="00430300">
        <w:rPr>
          <w:color w:val="auto"/>
        </w:rPr>
        <w:t xml:space="preserve">= </w:t>
      </w:r>
      <w:r>
        <w:rPr>
          <w:color w:val="auto"/>
        </w:rPr>
        <w:t>Temporal risk element score for country (c)</w:t>
      </w:r>
    </w:p>
    <w:p w14:paraId="5D80A957" w14:textId="45ED8417" w:rsidR="00430300" w:rsidRPr="00430300" w:rsidRDefault="00430300" w:rsidP="00430300">
      <w:pPr>
        <w:pStyle w:val="ListParagraph"/>
        <w:numPr>
          <w:ilvl w:val="0"/>
          <w:numId w:val="30"/>
        </w:numPr>
        <w:spacing w:after="0"/>
        <w:rPr>
          <w:color w:val="auto"/>
        </w:rPr>
      </w:pPr>
      <w:proofErr w:type="spellStart"/>
      <w:r w:rsidRPr="00430300">
        <w:rPr>
          <w:i/>
          <w:iCs/>
          <w:color w:val="auto"/>
        </w:rPr>
        <w:t>TRES</w:t>
      </w:r>
      <w:r>
        <w:rPr>
          <w:i/>
          <w:iCs/>
          <w:color w:val="auto"/>
          <w:vertAlign w:val="subscript"/>
        </w:rPr>
        <w:t>max</w:t>
      </w:r>
      <w:proofErr w:type="spellEnd"/>
      <w:r>
        <w:rPr>
          <w:color w:val="auto"/>
          <w:vertAlign w:val="subscript"/>
        </w:rPr>
        <w:t xml:space="preserve"> </w:t>
      </w:r>
      <w:r w:rsidRPr="00430300">
        <w:rPr>
          <w:color w:val="auto"/>
        </w:rPr>
        <w:t xml:space="preserve">= </w:t>
      </w:r>
      <w:r>
        <w:rPr>
          <w:color w:val="auto"/>
        </w:rPr>
        <w:t>Maximum temporal risk element score for all countries</w:t>
      </w:r>
    </w:p>
    <w:p w14:paraId="60B173AA" w14:textId="734DA807" w:rsidR="00430300" w:rsidRPr="00430300" w:rsidRDefault="00430300" w:rsidP="00430300">
      <w:pPr>
        <w:pStyle w:val="ListParagraph"/>
        <w:numPr>
          <w:ilvl w:val="0"/>
          <w:numId w:val="30"/>
        </w:numPr>
        <w:rPr>
          <w:color w:val="auto"/>
        </w:rPr>
      </w:pPr>
      <w:proofErr w:type="spellStart"/>
      <w:r w:rsidRPr="00430300">
        <w:rPr>
          <w:i/>
          <w:iCs/>
          <w:color w:val="auto"/>
        </w:rPr>
        <w:t>TRES</w:t>
      </w:r>
      <w:r>
        <w:rPr>
          <w:i/>
          <w:iCs/>
          <w:color w:val="auto"/>
          <w:vertAlign w:val="subscript"/>
        </w:rPr>
        <w:t>min</w:t>
      </w:r>
      <w:proofErr w:type="spellEnd"/>
      <w:r w:rsidRPr="00430300">
        <w:rPr>
          <w:color w:val="auto"/>
        </w:rPr>
        <w:t xml:space="preserve"> = Minimum temporal risk element score for all countries</w:t>
      </w:r>
    </w:p>
    <w:p w14:paraId="1B1760E4" w14:textId="1E5A8169" w:rsidR="00430300" w:rsidRPr="00430300" w:rsidRDefault="00430300" w:rsidP="00430300">
      <w:pPr>
        <w:rPr>
          <w:color w:val="auto"/>
        </w:rPr>
      </w:pPr>
      <w:r>
        <w:rPr>
          <w:color w:val="auto"/>
        </w:rPr>
        <w:t xml:space="preserve">Subsequently </w:t>
      </w:r>
      <w:r w:rsidR="002D6A18">
        <w:rPr>
          <w:color w:val="auto"/>
        </w:rPr>
        <w:t>likelihood and consequence ratings were calculated from the weighted average of the appropriate temporal risk element ratings as shown in Equation 3 and 4.</w:t>
      </w:r>
    </w:p>
    <w:p w14:paraId="254089AC" w14:textId="1C752145" w:rsidR="00667FBA" w:rsidRDefault="00667FBA" w:rsidP="00D076AD">
      <w:pPr>
        <w:pStyle w:val="Caption"/>
      </w:pPr>
      <w:r w:rsidRPr="00D076AD">
        <w:t xml:space="preserve">Equation </w:t>
      </w:r>
      <w:r w:rsidR="00430300" w:rsidRPr="00D076AD">
        <w:t>3</w:t>
      </w:r>
      <w:r w:rsidRPr="00D076AD">
        <w:t>. Likelihood of outbreak</w:t>
      </w:r>
    </w:p>
    <w:p w14:paraId="37EE5404" w14:textId="7E5D7CEC" w:rsidR="00667FBA" w:rsidRPr="002C7507" w:rsidRDefault="00667FBA" w:rsidP="00667FBA">
      <w:pPr>
        <w:rPr>
          <w:color w:val="auto"/>
        </w:rPr>
      </w:pPr>
      <m:oMathPara>
        <m:oMath>
          <m:r>
            <w:rPr>
              <w:rFonts w:ascii="Cambria Math" w:hAnsi="Cambria Math"/>
              <w:color w:val="auto"/>
            </w:rPr>
            <m:t>Likelihood=</m:t>
          </m:r>
          <m:d>
            <m:dPr>
              <m:ctrlPr>
                <w:rPr>
                  <w:rFonts w:ascii="Cambria Math" w:hAnsi="Cambria Math"/>
                  <w:i/>
                  <w:color w:val="auto"/>
                </w:rPr>
              </m:ctrlPr>
            </m:dPr>
            <m:e>
              <m:r>
                <w:rPr>
                  <w:rFonts w:ascii="Cambria Math" w:hAnsi="Cambria Math"/>
                  <w:color w:val="auto"/>
                </w:rPr>
                <m:t>Ability to delay+Ability to contain</m:t>
              </m:r>
            </m:e>
          </m:d>
          <m:r>
            <w:rPr>
              <w:rFonts w:ascii="Cambria Math" w:hAnsi="Cambria Math"/>
              <w:color w:val="auto"/>
            </w:rPr>
            <m:t>÷2</m:t>
          </m:r>
        </m:oMath>
      </m:oMathPara>
    </w:p>
    <w:p w14:paraId="4D19F0B3" w14:textId="520D661A" w:rsidR="00667FBA" w:rsidRDefault="00667FBA" w:rsidP="00D076AD">
      <w:pPr>
        <w:pStyle w:val="Caption"/>
      </w:pPr>
      <w:r w:rsidRPr="00D076AD">
        <w:t xml:space="preserve">Equation </w:t>
      </w:r>
      <w:r w:rsidR="00430300" w:rsidRPr="00D076AD">
        <w:t>4</w:t>
      </w:r>
      <w:r w:rsidRPr="00D076AD">
        <w:t>. Consequence of outbreak</w:t>
      </w:r>
    </w:p>
    <w:p w14:paraId="7733D54C" w14:textId="7CF04A7B" w:rsidR="00667FBA" w:rsidRPr="002D6A18" w:rsidRDefault="00667FBA" w:rsidP="00667FBA">
      <w:pPr>
        <w:rPr>
          <w:color w:val="auto"/>
        </w:rPr>
      </w:pPr>
      <m:oMathPara>
        <m:oMath>
          <m:r>
            <w:rPr>
              <w:rFonts w:ascii="Cambria Math" w:hAnsi="Cambria Math"/>
              <w:color w:val="auto"/>
            </w:rPr>
            <m:t>Consequence=(Ability to treat+Ability to immunise+Ability to recover)÷3</m:t>
          </m:r>
        </m:oMath>
      </m:oMathPara>
    </w:p>
    <w:p w14:paraId="29664772" w14:textId="66E9FCE2" w:rsidR="002D6A18" w:rsidRPr="002C7507" w:rsidRDefault="002D6A18" w:rsidP="00667FBA">
      <w:pPr>
        <w:rPr>
          <w:color w:val="auto"/>
        </w:rPr>
      </w:pPr>
      <w:r>
        <w:rPr>
          <w:color w:val="auto"/>
        </w:rPr>
        <w:t>Finally, the overall risk from COVID-19 was calculated by multiplying likelihood and consequence, resulting in a rating between 1 – 25 as shown in Equation 5.</w:t>
      </w:r>
    </w:p>
    <w:p w14:paraId="1A8AAF63" w14:textId="58994CD6" w:rsidR="00667FBA" w:rsidRDefault="00667FBA" w:rsidP="00D076AD">
      <w:pPr>
        <w:pStyle w:val="Caption"/>
      </w:pPr>
      <w:r w:rsidRPr="00D076AD">
        <w:t xml:space="preserve">Equation </w:t>
      </w:r>
      <w:r w:rsidR="00430300" w:rsidRPr="00D076AD">
        <w:t>5</w:t>
      </w:r>
      <w:r w:rsidRPr="00D076AD">
        <w:t>. Calculation of overall risk from COVID-19</w:t>
      </w:r>
    </w:p>
    <w:p w14:paraId="5577164C" w14:textId="1C310FEE" w:rsidR="00667FBA" w:rsidRPr="00B37A13" w:rsidRDefault="00667FBA" w:rsidP="00667FBA">
      <w:pPr>
        <w:rPr>
          <w:color w:val="auto"/>
        </w:rPr>
      </w:pPr>
      <m:oMathPara>
        <m:oMath>
          <m:r>
            <w:rPr>
              <w:rFonts w:ascii="Cambria Math" w:hAnsi="Cambria Math"/>
              <w:color w:val="auto"/>
            </w:rPr>
            <m:t>Risk from COVID-19=Likelihood*Consequence</m:t>
          </m:r>
        </m:oMath>
      </m:oMathPara>
    </w:p>
    <w:p w14:paraId="213CD92E" w14:textId="705460F9" w:rsidR="00C659E6" w:rsidRDefault="00C659E6" w:rsidP="00667FBA">
      <w:pPr>
        <w:rPr>
          <w:color w:val="auto"/>
        </w:rPr>
      </w:pPr>
      <w:r>
        <w:rPr>
          <w:color w:val="auto"/>
        </w:rPr>
        <w:t xml:space="preserve">Any gaps in datasets will not be considered by the calculations </w:t>
      </w:r>
      <w:proofErr w:type="gramStart"/>
      <w:r>
        <w:rPr>
          <w:color w:val="auto"/>
        </w:rPr>
        <w:t>so as to</w:t>
      </w:r>
      <w:proofErr w:type="gramEnd"/>
      <w:r>
        <w:rPr>
          <w:color w:val="auto"/>
        </w:rPr>
        <w:t xml:space="preserve"> not bias the results as much as possible.</w:t>
      </w:r>
    </w:p>
    <w:p w14:paraId="5C57520C" w14:textId="77777777" w:rsidR="00D076AD" w:rsidRDefault="00D076AD">
      <w:pPr>
        <w:spacing w:after="160"/>
        <w:ind w:left="2160"/>
        <w:rPr>
          <w:color w:val="auto"/>
        </w:rPr>
      </w:pPr>
      <w:r>
        <w:rPr>
          <w:color w:val="auto"/>
        </w:rPr>
        <w:br w:type="page"/>
      </w:r>
    </w:p>
    <w:p w14:paraId="6FAC5753" w14:textId="3491E6FD" w:rsidR="00A0437E" w:rsidRDefault="00A0437E" w:rsidP="00147343">
      <w:pPr>
        <w:pStyle w:val="Heading2"/>
        <w:numPr>
          <w:ilvl w:val="0"/>
          <w:numId w:val="24"/>
        </w:numPr>
        <w:spacing w:after="0"/>
      </w:pPr>
      <w:r>
        <w:lastRenderedPageBreak/>
        <w:t>Implementation for all 47 countries</w:t>
      </w:r>
    </w:p>
    <w:p w14:paraId="2A9A04E1" w14:textId="08C82CB1" w:rsidR="001A3EF0" w:rsidRDefault="00147343" w:rsidP="001326AC">
      <w:r>
        <w:t xml:space="preserve">With the calculations finalised the index assessment was completed for all 47 countries. </w:t>
      </w:r>
      <w:r w:rsidR="001A3EF0">
        <w:t>As a final stage to make the data more easily understandable the overall risk rating was converted from a number into a statement in line with Table 4 below.</w:t>
      </w:r>
    </w:p>
    <w:p w14:paraId="12B1ED75" w14:textId="07425F4D" w:rsidR="001A3EF0" w:rsidRDefault="001A3EF0" w:rsidP="00B37A13">
      <w:pPr>
        <w:pStyle w:val="Caption"/>
        <w:keepNext/>
      </w:pPr>
      <w:r>
        <w:t xml:space="preserve">Table </w:t>
      </w:r>
      <w:r w:rsidR="00047BE6">
        <w:fldChar w:fldCharType="begin"/>
      </w:r>
      <w:r w:rsidR="00047BE6">
        <w:instrText xml:space="preserve"> SEQ Table \* ARABIC </w:instrText>
      </w:r>
      <w:r w:rsidR="00047BE6">
        <w:fldChar w:fldCharType="separate"/>
      </w:r>
      <w:r w:rsidR="00453014">
        <w:rPr>
          <w:noProof/>
        </w:rPr>
        <w:t>4</w:t>
      </w:r>
      <w:r w:rsidR="00047BE6">
        <w:rPr>
          <w:noProof/>
        </w:rPr>
        <w:fldChar w:fldCharType="end"/>
      </w:r>
      <w:r>
        <w:t>. Risk ratings</w:t>
      </w:r>
    </w:p>
    <w:tbl>
      <w:tblPr>
        <w:tblStyle w:val="PlainTable1"/>
        <w:tblW w:w="4187" w:type="dxa"/>
        <w:tblLook w:val="04A0" w:firstRow="1" w:lastRow="0" w:firstColumn="1" w:lastColumn="0" w:noHBand="0" w:noVBand="1"/>
      </w:tblPr>
      <w:tblGrid>
        <w:gridCol w:w="2537"/>
        <w:gridCol w:w="1650"/>
      </w:tblGrid>
      <w:tr w:rsidR="00D076AD" w:rsidRPr="00D076AD" w14:paraId="451D7EE3" w14:textId="77777777" w:rsidTr="00D07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shd w:val="clear" w:color="auto" w:fill="auto"/>
          </w:tcPr>
          <w:p w14:paraId="56625346" w14:textId="60D6B581" w:rsidR="001A3EF0" w:rsidRPr="00D076AD" w:rsidRDefault="001A3EF0" w:rsidP="00FB02EB">
            <w:pPr>
              <w:spacing w:after="0"/>
              <w:rPr>
                <w:color w:val="auto"/>
                <w:szCs w:val="16"/>
              </w:rPr>
            </w:pPr>
            <w:r w:rsidRPr="00D076AD">
              <w:rPr>
                <w:color w:val="auto"/>
                <w:szCs w:val="16"/>
              </w:rPr>
              <w:t>Numeric risk rating</w:t>
            </w:r>
          </w:p>
        </w:tc>
        <w:tc>
          <w:tcPr>
            <w:tcW w:w="1650" w:type="dxa"/>
            <w:shd w:val="clear" w:color="auto" w:fill="auto"/>
          </w:tcPr>
          <w:p w14:paraId="152199FF" w14:textId="749D5E35" w:rsidR="001A3EF0" w:rsidRPr="00D076AD" w:rsidRDefault="001A3EF0" w:rsidP="00FB02EB">
            <w:pPr>
              <w:spacing w:after="0"/>
              <w:cnfStyle w:val="100000000000" w:firstRow="1" w:lastRow="0" w:firstColumn="0" w:lastColumn="0" w:oddVBand="0" w:evenVBand="0" w:oddHBand="0" w:evenHBand="0" w:firstRowFirstColumn="0" w:firstRowLastColumn="0" w:lastRowFirstColumn="0" w:lastRowLastColumn="0"/>
              <w:rPr>
                <w:color w:val="auto"/>
                <w:szCs w:val="16"/>
              </w:rPr>
            </w:pPr>
            <w:r w:rsidRPr="00D076AD">
              <w:rPr>
                <w:color w:val="auto"/>
                <w:szCs w:val="16"/>
              </w:rPr>
              <w:t>Risk rating</w:t>
            </w:r>
          </w:p>
        </w:tc>
      </w:tr>
      <w:tr w:rsidR="00D076AD" w:rsidRPr="00D076AD" w14:paraId="52116E8F" w14:textId="77777777" w:rsidTr="00D07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shd w:val="clear" w:color="auto" w:fill="auto"/>
          </w:tcPr>
          <w:p w14:paraId="1799AD99" w14:textId="7E0A6431" w:rsidR="001A3EF0" w:rsidRPr="00D076AD" w:rsidRDefault="001A3EF0" w:rsidP="00897C11">
            <w:pPr>
              <w:spacing w:after="0"/>
              <w:jc w:val="center"/>
              <w:rPr>
                <w:color w:val="auto"/>
              </w:rPr>
            </w:pPr>
            <w:r w:rsidRPr="00D076AD">
              <w:rPr>
                <w:color w:val="auto"/>
              </w:rPr>
              <w:t>1</w:t>
            </w:r>
            <w:r w:rsidR="008B2A61" w:rsidRPr="00D076AD">
              <w:rPr>
                <w:color w:val="auto"/>
              </w:rPr>
              <w:t>5</w:t>
            </w:r>
            <w:r w:rsidRPr="00D076AD">
              <w:rPr>
                <w:color w:val="auto"/>
              </w:rPr>
              <w:t xml:space="preserve"> – 25</w:t>
            </w:r>
          </w:p>
        </w:tc>
        <w:tc>
          <w:tcPr>
            <w:tcW w:w="1650" w:type="dxa"/>
            <w:shd w:val="clear" w:color="auto" w:fill="auto"/>
          </w:tcPr>
          <w:p w14:paraId="7DA585F8" w14:textId="4986B875" w:rsidR="001A3EF0" w:rsidRPr="00D076AD" w:rsidRDefault="001A3EF0" w:rsidP="00897C11">
            <w:pPr>
              <w:spacing w:after="0"/>
              <w:jc w:val="center"/>
              <w:cnfStyle w:val="000000100000" w:firstRow="0" w:lastRow="0" w:firstColumn="0" w:lastColumn="0" w:oddVBand="0" w:evenVBand="0" w:oddHBand="1" w:evenHBand="0" w:firstRowFirstColumn="0" w:firstRowLastColumn="0" w:lastRowFirstColumn="0" w:lastRowLastColumn="0"/>
              <w:rPr>
                <w:color w:val="auto"/>
              </w:rPr>
            </w:pPr>
            <w:r w:rsidRPr="00D076AD">
              <w:rPr>
                <w:color w:val="auto"/>
              </w:rPr>
              <w:t>Extremely high</w:t>
            </w:r>
          </w:p>
        </w:tc>
      </w:tr>
      <w:tr w:rsidR="00D076AD" w:rsidRPr="00D076AD" w14:paraId="06152B83" w14:textId="77777777" w:rsidTr="00D076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shd w:val="clear" w:color="auto" w:fill="auto"/>
          </w:tcPr>
          <w:p w14:paraId="01CB3A58" w14:textId="2DD57AFF" w:rsidR="001A3EF0" w:rsidRPr="00D076AD" w:rsidRDefault="001A3EF0" w:rsidP="00897C11">
            <w:pPr>
              <w:spacing w:after="0"/>
              <w:jc w:val="center"/>
              <w:rPr>
                <w:color w:val="auto"/>
              </w:rPr>
            </w:pPr>
            <w:r w:rsidRPr="00D076AD">
              <w:rPr>
                <w:color w:val="auto"/>
              </w:rPr>
              <w:t>1</w:t>
            </w:r>
            <w:r w:rsidR="008B2A61" w:rsidRPr="00D076AD">
              <w:rPr>
                <w:color w:val="auto"/>
              </w:rPr>
              <w:t>2.5</w:t>
            </w:r>
            <w:r w:rsidRPr="00D076AD">
              <w:rPr>
                <w:color w:val="auto"/>
              </w:rPr>
              <w:t xml:space="preserve"> – 1</w:t>
            </w:r>
            <w:r w:rsidR="008B2A61" w:rsidRPr="00D076AD">
              <w:rPr>
                <w:color w:val="auto"/>
              </w:rPr>
              <w:t>5</w:t>
            </w:r>
          </w:p>
        </w:tc>
        <w:tc>
          <w:tcPr>
            <w:tcW w:w="1650" w:type="dxa"/>
            <w:shd w:val="clear" w:color="auto" w:fill="auto"/>
          </w:tcPr>
          <w:p w14:paraId="6C8A0600" w14:textId="6BEAD45B" w:rsidR="001A3EF0" w:rsidRPr="00D076AD" w:rsidRDefault="001A3EF0" w:rsidP="00897C11">
            <w:pPr>
              <w:spacing w:after="0"/>
              <w:jc w:val="center"/>
              <w:cnfStyle w:val="000000010000" w:firstRow="0" w:lastRow="0" w:firstColumn="0" w:lastColumn="0" w:oddVBand="0" w:evenVBand="0" w:oddHBand="0" w:evenHBand="1" w:firstRowFirstColumn="0" w:firstRowLastColumn="0" w:lastRowFirstColumn="0" w:lastRowLastColumn="0"/>
              <w:rPr>
                <w:color w:val="auto"/>
              </w:rPr>
            </w:pPr>
            <w:r w:rsidRPr="00D076AD">
              <w:rPr>
                <w:color w:val="auto"/>
              </w:rPr>
              <w:t>Very high</w:t>
            </w:r>
          </w:p>
        </w:tc>
      </w:tr>
      <w:tr w:rsidR="00D076AD" w:rsidRPr="00D076AD" w14:paraId="4D4177C0" w14:textId="77777777" w:rsidTr="00D07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shd w:val="clear" w:color="auto" w:fill="auto"/>
          </w:tcPr>
          <w:p w14:paraId="7532EE38" w14:textId="3458C5D7" w:rsidR="001A3EF0" w:rsidRPr="00D076AD" w:rsidRDefault="001A3EF0" w:rsidP="00897C11">
            <w:pPr>
              <w:spacing w:after="0"/>
              <w:jc w:val="center"/>
              <w:rPr>
                <w:color w:val="auto"/>
              </w:rPr>
            </w:pPr>
            <w:r w:rsidRPr="00D076AD">
              <w:rPr>
                <w:color w:val="auto"/>
              </w:rPr>
              <w:t>1</w:t>
            </w:r>
            <w:r w:rsidR="008B2A61" w:rsidRPr="00D076AD">
              <w:rPr>
                <w:color w:val="auto"/>
              </w:rPr>
              <w:t>0</w:t>
            </w:r>
            <w:r w:rsidRPr="00D076AD">
              <w:rPr>
                <w:color w:val="auto"/>
              </w:rPr>
              <w:t xml:space="preserve"> – </w:t>
            </w:r>
            <w:r w:rsidR="008B2A61" w:rsidRPr="00D076AD">
              <w:rPr>
                <w:color w:val="auto"/>
              </w:rPr>
              <w:t>12.5</w:t>
            </w:r>
          </w:p>
        </w:tc>
        <w:tc>
          <w:tcPr>
            <w:tcW w:w="1650" w:type="dxa"/>
            <w:shd w:val="clear" w:color="auto" w:fill="auto"/>
          </w:tcPr>
          <w:p w14:paraId="3DE9CBEF" w14:textId="49DB6B3A" w:rsidR="001A3EF0" w:rsidRPr="00D076AD" w:rsidRDefault="001A3EF0" w:rsidP="00897C11">
            <w:pPr>
              <w:spacing w:after="0"/>
              <w:jc w:val="center"/>
              <w:cnfStyle w:val="000000100000" w:firstRow="0" w:lastRow="0" w:firstColumn="0" w:lastColumn="0" w:oddVBand="0" w:evenVBand="0" w:oddHBand="1" w:evenHBand="0" w:firstRowFirstColumn="0" w:firstRowLastColumn="0" w:lastRowFirstColumn="0" w:lastRowLastColumn="0"/>
              <w:rPr>
                <w:color w:val="auto"/>
              </w:rPr>
            </w:pPr>
            <w:r w:rsidRPr="00D076AD">
              <w:rPr>
                <w:color w:val="auto"/>
              </w:rPr>
              <w:t>High</w:t>
            </w:r>
          </w:p>
        </w:tc>
      </w:tr>
      <w:tr w:rsidR="00D076AD" w:rsidRPr="00D076AD" w14:paraId="6E2A020A" w14:textId="77777777" w:rsidTr="00D076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shd w:val="clear" w:color="auto" w:fill="auto"/>
          </w:tcPr>
          <w:p w14:paraId="639BD81D" w14:textId="47EC7E96" w:rsidR="001A3EF0" w:rsidRPr="00D076AD" w:rsidRDefault="001A3EF0" w:rsidP="00897C11">
            <w:pPr>
              <w:spacing w:after="0"/>
              <w:jc w:val="center"/>
              <w:rPr>
                <w:color w:val="auto"/>
              </w:rPr>
            </w:pPr>
            <w:r w:rsidRPr="00D076AD">
              <w:rPr>
                <w:color w:val="auto"/>
              </w:rPr>
              <w:t>7 – 1</w:t>
            </w:r>
            <w:r w:rsidR="008B2A61" w:rsidRPr="00D076AD">
              <w:rPr>
                <w:color w:val="auto"/>
              </w:rPr>
              <w:t>0</w:t>
            </w:r>
          </w:p>
        </w:tc>
        <w:tc>
          <w:tcPr>
            <w:tcW w:w="1650" w:type="dxa"/>
            <w:shd w:val="clear" w:color="auto" w:fill="auto"/>
          </w:tcPr>
          <w:p w14:paraId="6CBEC8CB" w14:textId="09E8763A" w:rsidR="001A3EF0" w:rsidRPr="00D076AD" w:rsidRDefault="001A3EF0" w:rsidP="00897C11">
            <w:pPr>
              <w:spacing w:after="0"/>
              <w:jc w:val="center"/>
              <w:cnfStyle w:val="000000010000" w:firstRow="0" w:lastRow="0" w:firstColumn="0" w:lastColumn="0" w:oddVBand="0" w:evenVBand="0" w:oddHBand="0" w:evenHBand="1" w:firstRowFirstColumn="0" w:firstRowLastColumn="0" w:lastRowFirstColumn="0" w:lastRowLastColumn="0"/>
              <w:rPr>
                <w:color w:val="auto"/>
              </w:rPr>
            </w:pPr>
            <w:r w:rsidRPr="00D076AD">
              <w:rPr>
                <w:color w:val="auto"/>
              </w:rPr>
              <w:t>Medium</w:t>
            </w:r>
          </w:p>
        </w:tc>
      </w:tr>
      <w:tr w:rsidR="00D076AD" w:rsidRPr="00D076AD" w14:paraId="1DA276C2" w14:textId="77777777" w:rsidTr="00D07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shd w:val="clear" w:color="auto" w:fill="auto"/>
          </w:tcPr>
          <w:p w14:paraId="5C9D21DB" w14:textId="5FEAA145" w:rsidR="001A3EF0" w:rsidRPr="00D076AD" w:rsidRDefault="001A3EF0" w:rsidP="00897C11">
            <w:pPr>
              <w:spacing w:after="0"/>
              <w:jc w:val="center"/>
              <w:rPr>
                <w:color w:val="auto"/>
              </w:rPr>
            </w:pPr>
            <w:r w:rsidRPr="00D076AD">
              <w:rPr>
                <w:color w:val="auto"/>
              </w:rPr>
              <w:t>&lt;7</w:t>
            </w:r>
          </w:p>
        </w:tc>
        <w:tc>
          <w:tcPr>
            <w:tcW w:w="1650" w:type="dxa"/>
            <w:shd w:val="clear" w:color="auto" w:fill="auto"/>
          </w:tcPr>
          <w:p w14:paraId="1328C1E0" w14:textId="56EF9BCE" w:rsidR="001A3EF0" w:rsidRPr="00D076AD" w:rsidRDefault="001A3EF0" w:rsidP="00897C11">
            <w:pPr>
              <w:spacing w:after="0"/>
              <w:jc w:val="center"/>
              <w:cnfStyle w:val="000000100000" w:firstRow="0" w:lastRow="0" w:firstColumn="0" w:lastColumn="0" w:oddVBand="0" w:evenVBand="0" w:oddHBand="1" w:evenHBand="0" w:firstRowFirstColumn="0" w:firstRowLastColumn="0" w:lastRowFirstColumn="0" w:lastRowLastColumn="0"/>
              <w:rPr>
                <w:color w:val="auto"/>
              </w:rPr>
            </w:pPr>
            <w:r w:rsidRPr="00D076AD">
              <w:rPr>
                <w:color w:val="auto"/>
              </w:rPr>
              <w:t>Low</w:t>
            </w:r>
          </w:p>
        </w:tc>
      </w:tr>
    </w:tbl>
    <w:p w14:paraId="026730FC" w14:textId="77777777" w:rsidR="001A3EF0" w:rsidRDefault="001A3EF0" w:rsidP="001326AC"/>
    <w:p w14:paraId="175A31E1" w14:textId="465D11EA" w:rsidR="00E7765D" w:rsidRDefault="009F7A53" w:rsidP="001326AC">
      <w:r>
        <w:t>A</w:t>
      </w:r>
      <w:r w:rsidR="00147343">
        <w:t xml:space="preserve"> summary of </w:t>
      </w:r>
      <w:r>
        <w:t>the results is</w:t>
      </w:r>
      <w:r w:rsidR="00147343">
        <w:t xml:space="preserve"> shown in Table </w:t>
      </w:r>
      <w:r w:rsidR="001A3EF0">
        <w:t>5</w:t>
      </w:r>
      <w:r w:rsidR="00147343">
        <w:t>.</w:t>
      </w:r>
      <w:r w:rsidR="001A3EF0">
        <w:t xml:space="preserve"> </w:t>
      </w:r>
    </w:p>
    <w:p w14:paraId="45F76837" w14:textId="77777777" w:rsidR="002D6A18" w:rsidRDefault="002D6A18" w:rsidP="001326AC"/>
    <w:p w14:paraId="73818E8E" w14:textId="57753176" w:rsidR="002D6A18" w:rsidRDefault="002D6A18" w:rsidP="001326AC">
      <w:pPr>
        <w:sectPr w:rsidR="002D6A18" w:rsidSect="005015D1">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014" w:header="708" w:footer="567" w:gutter="0"/>
          <w:cols w:space="708"/>
          <w:titlePg/>
          <w:docGrid w:linePitch="360"/>
        </w:sectPr>
      </w:pPr>
    </w:p>
    <w:p w14:paraId="40AB7CB8" w14:textId="196DE84D" w:rsidR="001B600C" w:rsidRDefault="001B600C" w:rsidP="00B55E75">
      <w:pPr>
        <w:pStyle w:val="Heading1"/>
        <w:spacing w:after="0"/>
      </w:pPr>
      <w:r>
        <w:lastRenderedPageBreak/>
        <w:t>Results</w:t>
      </w:r>
    </w:p>
    <w:p w14:paraId="5B30630E" w14:textId="08939FE3" w:rsidR="00764C13" w:rsidRPr="00764C13" w:rsidRDefault="00764C13" w:rsidP="00764C13">
      <w:r>
        <w:t xml:space="preserve">Below in Table </w:t>
      </w:r>
      <w:r w:rsidR="001A3EF0">
        <w:t xml:space="preserve">5 </w:t>
      </w:r>
      <w:r>
        <w:t>the results have been shown</w:t>
      </w:r>
      <w:r w:rsidR="00802FA1">
        <w:t>.</w:t>
      </w:r>
    </w:p>
    <w:p w14:paraId="3E006CC7" w14:textId="0504CA0E" w:rsidR="00764C13" w:rsidRDefault="00764C13" w:rsidP="00764C13">
      <w:pPr>
        <w:pStyle w:val="Caption"/>
        <w:keepNext/>
      </w:pPr>
      <w:r>
        <w:t xml:space="preserve">Table </w:t>
      </w:r>
      <w:r w:rsidR="00047BE6">
        <w:fldChar w:fldCharType="begin"/>
      </w:r>
      <w:r w:rsidR="00047BE6">
        <w:instrText xml:space="preserve"> SEQ Table \* ARABIC </w:instrText>
      </w:r>
      <w:r w:rsidR="00047BE6">
        <w:fldChar w:fldCharType="separate"/>
      </w:r>
      <w:r w:rsidR="00453014">
        <w:rPr>
          <w:noProof/>
        </w:rPr>
        <w:t>5</w:t>
      </w:r>
      <w:r w:rsidR="00047BE6">
        <w:rPr>
          <w:noProof/>
        </w:rPr>
        <w:fldChar w:fldCharType="end"/>
      </w:r>
      <w:r>
        <w:t>. COVID-19 and water security risk index</w:t>
      </w:r>
    </w:p>
    <w:tbl>
      <w:tblPr>
        <w:tblW w:w="15373" w:type="dxa"/>
        <w:jc w:val="center"/>
        <w:tblLayout w:type="fixed"/>
        <w:tblLook w:val="04A0" w:firstRow="1" w:lastRow="0" w:firstColumn="1" w:lastColumn="0" w:noHBand="0" w:noVBand="1"/>
      </w:tblPr>
      <w:tblGrid>
        <w:gridCol w:w="1696"/>
        <w:gridCol w:w="1418"/>
        <w:gridCol w:w="709"/>
        <w:gridCol w:w="1417"/>
        <w:gridCol w:w="1843"/>
        <w:gridCol w:w="992"/>
        <w:gridCol w:w="1134"/>
        <w:gridCol w:w="1134"/>
        <w:gridCol w:w="1134"/>
        <w:gridCol w:w="1134"/>
        <w:gridCol w:w="1418"/>
        <w:gridCol w:w="1105"/>
        <w:gridCol w:w="239"/>
      </w:tblGrid>
      <w:tr w:rsidR="00D076AD" w:rsidRPr="00D076AD" w14:paraId="557CB3B2" w14:textId="77777777" w:rsidTr="00652D29">
        <w:trPr>
          <w:gridAfter w:val="1"/>
          <w:wAfter w:w="239" w:type="dxa"/>
          <w:trHeight w:val="491"/>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214B9" w14:textId="77777777" w:rsidR="001A3EF0" w:rsidRPr="00652D29" w:rsidRDefault="001A3EF0" w:rsidP="00652D29">
            <w:pPr>
              <w:spacing w:after="0"/>
              <w:rPr>
                <w:rFonts w:eastAsia="Times New Roman"/>
                <w:b/>
                <w:bCs/>
                <w:color w:val="auto"/>
                <w:lang w:eastAsia="en-AU"/>
              </w:rPr>
            </w:pPr>
            <w:r w:rsidRPr="00652D29">
              <w:rPr>
                <w:rFonts w:eastAsia="Times New Roman"/>
                <w:b/>
                <w:bCs/>
                <w:color w:val="auto"/>
                <w:lang w:eastAsia="en-AU"/>
              </w:rPr>
              <w:t>Country</w:t>
            </w:r>
          </w:p>
        </w:tc>
        <w:tc>
          <w:tcPr>
            <w:tcW w:w="2127" w:type="dxa"/>
            <w:gridSpan w:val="2"/>
            <w:vMerge w:val="restart"/>
            <w:tcBorders>
              <w:top w:val="single" w:sz="4" w:space="0" w:color="auto"/>
              <w:left w:val="single" w:sz="4" w:space="0" w:color="auto"/>
              <w:right w:val="single" w:sz="4" w:space="0" w:color="auto"/>
            </w:tcBorders>
            <w:shd w:val="clear" w:color="auto" w:fill="auto"/>
            <w:vAlign w:val="bottom"/>
          </w:tcPr>
          <w:p w14:paraId="3B221AC5" w14:textId="3B388CE7" w:rsidR="001A3EF0" w:rsidRPr="00652D29" w:rsidRDefault="001A3EF0" w:rsidP="00652D29">
            <w:pPr>
              <w:spacing w:after="0"/>
              <w:jc w:val="center"/>
              <w:rPr>
                <w:rFonts w:eastAsia="Times New Roman"/>
                <w:b/>
                <w:bCs/>
                <w:color w:val="auto"/>
                <w:lang w:eastAsia="en-AU"/>
              </w:rPr>
            </w:pPr>
            <w:r w:rsidRPr="00652D29">
              <w:rPr>
                <w:rFonts w:eastAsia="Times New Roman"/>
                <w:b/>
                <w:bCs/>
                <w:color w:val="auto"/>
                <w:lang w:eastAsia="en-AU"/>
              </w:rPr>
              <w:t>Overall COVID-19 risk index</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669C7AB" w14:textId="77777777" w:rsidR="001A3EF0" w:rsidRPr="00652D29" w:rsidRDefault="001A3EF0" w:rsidP="00652D29">
            <w:pPr>
              <w:spacing w:after="0"/>
              <w:jc w:val="center"/>
              <w:rPr>
                <w:rFonts w:eastAsia="Times New Roman"/>
                <w:b/>
                <w:bCs/>
                <w:color w:val="auto"/>
                <w:lang w:eastAsia="en-AU"/>
              </w:rPr>
            </w:pPr>
            <w:r w:rsidRPr="00652D29">
              <w:rPr>
                <w:rFonts w:eastAsia="Times New Roman"/>
                <w:b/>
                <w:bCs/>
                <w:color w:val="auto"/>
                <w:lang w:eastAsia="en-AU"/>
              </w:rPr>
              <w:t>Likelihood of outbreak</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31DA544" w14:textId="77777777" w:rsidR="001A3EF0" w:rsidRPr="00652D29" w:rsidRDefault="001A3EF0" w:rsidP="00652D29">
            <w:pPr>
              <w:spacing w:after="0"/>
              <w:jc w:val="center"/>
              <w:rPr>
                <w:rFonts w:eastAsia="Times New Roman"/>
                <w:b/>
                <w:bCs/>
                <w:color w:val="auto"/>
                <w:lang w:eastAsia="en-AU"/>
              </w:rPr>
            </w:pPr>
            <w:r w:rsidRPr="00652D29">
              <w:rPr>
                <w:rFonts w:eastAsia="Times New Roman"/>
                <w:b/>
                <w:bCs/>
                <w:color w:val="auto"/>
                <w:lang w:eastAsia="en-AU"/>
              </w:rPr>
              <w:t>Consequence of outbreak</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DCED846" w14:textId="77777777" w:rsidR="001A3EF0" w:rsidRPr="00652D29" w:rsidRDefault="001A3EF0" w:rsidP="00652D29">
            <w:pPr>
              <w:spacing w:after="0"/>
              <w:jc w:val="center"/>
              <w:rPr>
                <w:rFonts w:eastAsia="Times New Roman"/>
                <w:b/>
                <w:bCs/>
                <w:color w:val="auto"/>
                <w:lang w:eastAsia="en-AU"/>
              </w:rPr>
            </w:pPr>
            <w:r w:rsidRPr="00652D29">
              <w:rPr>
                <w:rFonts w:eastAsia="Times New Roman"/>
                <w:b/>
                <w:bCs/>
                <w:color w:val="auto"/>
                <w:lang w:eastAsia="en-AU"/>
              </w:rPr>
              <w:t>Ability to delay the spark</w:t>
            </w:r>
          </w:p>
        </w:tc>
        <w:tc>
          <w:tcPr>
            <w:tcW w:w="2268" w:type="dxa"/>
            <w:gridSpan w:val="2"/>
            <w:vMerge w:val="restart"/>
            <w:tcBorders>
              <w:top w:val="single" w:sz="4" w:space="0" w:color="auto"/>
              <w:left w:val="single" w:sz="4" w:space="0" w:color="auto"/>
              <w:right w:val="single" w:sz="4" w:space="0" w:color="auto"/>
            </w:tcBorders>
            <w:shd w:val="clear" w:color="auto" w:fill="auto"/>
            <w:vAlign w:val="bottom"/>
            <w:hideMark/>
          </w:tcPr>
          <w:p w14:paraId="1BDD3873" w14:textId="2B5C877E" w:rsidR="001A3EF0" w:rsidRPr="00652D29" w:rsidRDefault="001A3EF0" w:rsidP="00652D29">
            <w:pPr>
              <w:spacing w:after="0"/>
              <w:jc w:val="center"/>
              <w:rPr>
                <w:rFonts w:eastAsia="Times New Roman"/>
                <w:b/>
                <w:bCs/>
                <w:color w:val="auto"/>
                <w:lang w:eastAsia="en-AU"/>
              </w:rPr>
            </w:pPr>
            <w:r w:rsidRPr="00652D29">
              <w:rPr>
                <w:rFonts w:eastAsia="Times New Roman"/>
                <w:b/>
                <w:bCs/>
                <w:color w:val="auto"/>
                <w:lang w:eastAsia="en-AU"/>
              </w:rPr>
              <w:t>Ability to contain the spread</w:t>
            </w:r>
          </w:p>
        </w:tc>
        <w:tc>
          <w:tcPr>
            <w:tcW w:w="2268" w:type="dxa"/>
            <w:gridSpan w:val="2"/>
            <w:vMerge w:val="restart"/>
            <w:tcBorders>
              <w:top w:val="single" w:sz="4" w:space="0" w:color="auto"/>
              <w:left w:val="single" w:sz="4" w:space="0" w:color="auto"/>
              <w:right w:val="single" w:sz="4" w:space="0" w:color="auto"/>
            </w:tcBorders>
            <w:shd w:val="clear" w:color="auto" w:fill="auto"/>
            <w:vAlign w:val="bottom"/>
            <w:hideMark/>
          </w:tcPr>
          <w:p w14:paraId="6647A2EE" w14:textId="526D13B0" w:rsidR="001A3EF0" w:rsidRPr="00652D29" w:rsidRDefault="001A3EF0" w:rsidP="00652D29">
            <w:pPr>
              <w:spacing w:after="0"/>
              <w:jc w:val="center"/>
              <w:rPr>
                <w:rFonts w:eastAsia="Times New Roman"/>
                <w:b/>
                <w:bCs/>
                <w:color w:val="auto"/>
                <w:lang w:eastAsia="en-AU"/>
              </w:rPr>
            </w:pPr>
            <w:r w:rsidRPr="00652D29">
              <w:rPr>
                <w:rFonts w:eastAsia="Times New Roman"/>
                <w:b/>
                <w:bCs/>
                <w:color w:val="auto"/>
                <w:lang w:eastAsia="en-AU"/>
              </w:rPr>
              <w:t>Ability to treat those in need</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542851C" w14:textId="3B88EB22" w:rsidR="001A3EF0" w:rsidRPr="00652D29" w:rsidRDefault="001A3EF0" w:rsidP="00652D29">
            <w:pPr>
              <w:spacing w:after="0"/>
              <w:jc w:val="center"/>
              <w:rPr>
                <w:rFonts w:eastAsia="Times New Roman"/>
                <w:b/>
                <w:bCs/>
                <w:color w:val="auto"/>
                <w:lang w:eastAsia="en-AU"/>
              </w:rPr>
            </w:pPr>
            <w:r w:rsidRPr="00652D29">
              <w:rPr>
                <w:rFonts w:eastAsia="Times New Roman"/>
                <w:b/>
                <w:bCs/>
                <w:color w:val="auto"/>
                <w:lang w:eastAsia="en-AU"/>
              </w:rPr>
              <w:t>Ability to immunise</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3F97EA7" w14:textId="77777777" w:rsidR="001A3EF0" w:rsidRPr="00652D29" w:rsidRDefault="001A3EF0" w:rsidP="00652D29">
            <w:pPr>
              <w:spacing w:after="0"/>
              <w:jc w:val="center"/>
              <w:rPr>
                <w:rFonts w:eastAsia="Times New Roman"/>
                <w:b/>
                <w:bCs/>
                <w:color w:val="auto"/>
                <w:lang w:eastAsia="en-AU"/>
              </w:rPr>
            </w:pPr>
            <w:r w:rsidRPr="00652D29">
              <w:rPr>
                <w:rFonts w:eastAsia="Times New Roman"/>
                <w:b/>
                <w:bCs/>
                <w:color w:val="auto"/>
                <w:lang w:eastAsia="en-AU"/>
              </w:rPr>
              <w:t>Ability to recover</w:t>
            </w:r>
          </w:p>
        </w:tc>
      </w:tr>
      <w:tr w:rsidR="00012446" w:rsidRPr="00012446" w14:paraId="2F75DA20" w14:textId="77777777" w:rsidTr="00652D29">
        <w:trPr>
          <w:trHeight w:val="70"/>
          <w:jc w:val="center"/>
        </w:trPr>
        <w:tc>
          <w:tcPr>
            <w:tcW w:w="1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068423" w14:textId="77777777" w:rsidR="001A3EF0" w:rsidRPr="00D076AD" w:rsidRDefault="001A3EF0" w:rsidP="00652D29">
            <w:pPr>
              <w:spacing w:after="0"/>
              <w:rPr>
                <w:rFonts w:eastAsia="Times New Roman"/>
                <w:color w:val="auto"/>
                <w:lang w:eastAsia="en-AU"/>
              </w:rPr>
            </w:pPr>
          </w:p>
        </w:tc>
        <w:tc>
          <w:tcPr>
            <w:tcW w:w="2127" w:type="dxa"/>
            <w:gridSpan w:val="2"/>
            <w:vMerge/>
            <w:tcBorders>
              <w:left w:val="single" w:sz="4" w:space="0" w:color="auto"/>
              <w:right w:val="single" w:sz="4" w:space="0" w:color="auto"/>
            </w:tcBorders>
            <w:shd w:val="clear" w:color="auto" w:fill="auto"/>
          </w:tcPr>
          <w:p w14:paraId="61EA9DC6" w14:textId="3B273BE3" w:rsidR="001A3EF0" w:rsidRPr="00D076AD" w:rsidRDefault="001A3EF0" w:rsidP="00652D29">
            <w:pPr>
              <w:spacing w:after="0"/>
              <w:rPr>
                <w:rFonts w:eastAsia="Times New Roman"/>
                <w:color w:val="auto"/>
                <w:lang w:eastAsia="en-A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B392F8" w14:textId="77777777" w:rsidR="001A3EF0" w:rsidRPr="00D076AD" w:rsidRDefault="001A3EF0" w:rsidP="00652D29">
            <w:pPr>
              <w:spacing w:after="0"/>
              <w:rPr>
                <w:rFonts w:eastAsia="Times New Roman"/>
                <w:color w:val="auto"/>
                <w:lang w:eastAsia="en-A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19E600" w14:textId="77777777" w:rsidR="001A3EF0" w:rsidRPr="00D076AD" w:rsidRDefault="001A3EF0" w:rsidP="00652D29">
            <w:pPr>
              <w:spacing w:after="0"/>
              <w:rPr>
                <w:rFonts w:eastAsia="Times New Roman"/>
                <w:color w:val="auto"/>
                <w:lang w:eastAsia="en-A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49844D" w14:textId="77777777" w:rsidR="001A3EF0" w:rsidRPr="00D076AD" w:rsidRDefault="001A3EF0" w:rsidP="00652D29">
            <w:pPr>
              <w:spacing w:after="0"/>
              <w:rPr>
                <w:rFonts w:eastAsia="Times New Roman"/>
                <w:color w:val="auto"/>
                <w:lang w:eastAsia="en-AU"/>
              </w:rPr>
            </w:pPr>
          </w:p>
        </w:tc>
        <w:tc>
          <w:tcPr>
            <w:tcW w:w="2268" w:type="dxa"/>
            <w:gridSpan w:val="2"/>
            <w:vMerge/>
            <w:tcBorders>
              <w:left w:val="single" w:sz="4" w:space="0" w:color="auto"/>
              <w:bottom w:val="single" w:sz="4" w:space="0" w:color="auto"/>
              <w:right w:val="single" w:sz="4" w:space="0" w:color="auto"/>
            </w:tcBorders>
            <w:shd w:val="clear" w:color="auto" w:fill="auto"/>
            <w:vAlign w:val="center"/>
            <w:hideMark/>
          </w:tcPr>
          <w:p w14:paraId="5E096DB3" w14:textId="77777777" w:rsidR="001A3EF0" w:rsidRPr="00D076AD" w:rsidRDefault="001A3EF0" w:rsidP="00652D29">
            <w:pPr>
              <w:spacing w:after="0"/>
              <w:rPr>
                <w:rFonts w:eastAsia="Times New Roman"/>
                <w:color w:val="auto"/>
                <w:lang w:eastAsia="en-AU"/>
              </w:rPr>
            </w:pPr>
          </w:p>
        </w:tc>
        <w:tc>
          <w:tcPr>
            <w:tcW w:w="2268" w:type="dxa"/>
            <w:gridSpan w:val="2"/>
            <w:vMerge/>
            <w:tcBorders>
              <w:left w:val="single" w:sz="4" w:space="0" w:color="auto"/>
              <w:bottom w:val="single" w:sz="4" w:space="0" w:color="auto"/>
              <w:right w:val="single" w:sz="4" w:space="0" w:color="auto"/>
            </w:tcBorders>
            <w:shd w:val="clear" w:color="auto" w:fill="auto"/>
            <w:vAlign w:val="center"/>
            <w:hideMark/>
          </w:tcPr>
          <w:p w14:paraId="7EB67100" w14:textId="77777777" w:rsidR="001A3EF0" w:rsidRPr="00D076AD" w:rsidRDefault="001A3EF0" w:rsidP="00652D29">
            <w:pPr>
              <w:spacing w:after="0"/>
              <w:rPr>
                <w:rFonts w:eastAsia="Times New Roman"/>
                <w:color w:val="auto"/>
                <w:lang w:eastAsia="en-A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1A0842" w14:textId="77777777" w:rsidR="001A3EF0" w:rsidRPr="00D076AD" w:rsidRDefault="001A3EF0" w:rsidP="00652D29">
            <w:pPr>
              <w:spacing w:after="0"/>
              <w:rPr>
                <w:rFonts w:eastAsia="Times New Roman"/>
                <w:color w:val="auto"/>
                <w:lang w:eastAsia="en-AU"/>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BB9E2C" w14:textId="77777777" w:rsidR="001A3EF0" w:rsidRPr="00D076AD" w:rsidRDefault="001A3EF0" w:rsidP="00652D29">
            <w:pPr>
              <w:spacing w:after="0"/>
              <w:rPr>
                <w:rFonts w:eastAsia="Times New Roman"/>
                <w:color w:val="auto"/>
                <w:lang w:eastAsia="en-AU"/>
              </w:rPr>
            </w:pPr>
          </w:p>
        </w:tc>
        <w:tc>
          <w:tcPr>
            <w:tcW w:w="239" w:type="dxa"/>
            <w:tcBorders>
              <w:top w:val="nil"/>
              <w:left w:val="nil"/>
              <w:bottom w:val="nil"/>
              <w:right w:val="nil"/>
            </w:tcBorders>
            <w:shd w:val="clear" w:color="auto" w:fill="auto"/>
            <w:noWrap/>
            <w:vAlign w:val="bottom"/>
            <w:hideMark/>
          </w:tcPr>
          <w:p w14:paraId="0DAFE1CB" w14:textId="77777777" w:rsidR="001A3EF0" w:rsidRPr="00D076AD" w:rsidRDefault="001A3EF0" w:rsidP="00652D29">
            <w:pPr>
              <w:spacing w:after="0"/>
              <w:rPr>
                <w:rFonts w:eastAsia="Times New Roman"/>
                <w:color w:val="auto"/>
                <w:lang w:eastAsia="en-AU"/>
              </w:rPr>
            </w:pPr>
          </w:p>
        </w:tc>
      </w:tr>
      <w:tr w:rsidR="00652D29" w:rsidRPr="00012446" w14:paraId="42CB280A" w14:textId="77777777" w:rsidTr="00652D29">
        <w:trPr>
          <w:trHeight w:val="570"/>
          <w:jc w:val="center"/>
        </w:trPr>
        <w:tc>
          <w:tcPr>
            <w:tcW w:w="1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3DCC00" w14:textId="77777777" w:rsidR="001A3EF0" w:rsidRPr="00D076AD" w:rsidRDefault="001A3EF0" w:rsidP="00652D29">
            <w:pPr>
              <w:spacing w:after="0"/>
              <w:rPr>
                <w:rFonts w:eastAsia="Times New Roman"/>
                <w:color w:val="auto"/>
                <w:lang w:eastAsia="en-AU"/>
              </w:rPr>
            </w:pPr>
          </w:p>
        </w:tc>
        <w:tc>
          <w:tcPr>
            <w:tcW w:w="2127" w:type="dxa"/>
            <w:gridSpan w:val="2"/>
            <w:vMerge/>
            <w:tcBorders>
              <w:left w:val="single" w:sz="4" w:space="0" w:color="auto"/>
              <w:right w:val="single" w:sz="4" w:space="0" w:color="auto"/>
            </w:tcBorders>
            <w:shd w:val="clear" w:color="auto" w:fill="auto"/>
          </w:tcPr>
          <w:p w14:paraId="0D3079E8" w14:textId="5F3B6650" w:rsidR="001A3EF0" w:rsidRPr="00D076AD" w:rsidRDefault="001A3EF0" w:rsidP="00652D29">
            <w:pPr>
              <w:spacing w:after="0"/>
              <w:rPr>
                <w:rFonts w:eastAsia="Times New Roman"/>
                <w:color w:val="auto"/>
                <w:lang w:eastAsia="en-A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C16066" w14:textId="77777777" w:rsidR="001A3EF0" w:rsidRPr="00D076AD" w:rsidRDefault="001A3EF0" w:rsidP="00652D29">
            <w:pPr>
              <w:spacing w:after="0"/>
              <w:rPr>
                <w:rFonts w:eastAsia="Times New Roman"/>
                <w:color w:val="auto"/>
                <w:lang w:eastAsia="en-A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9BD57C" w14:textId="77777777" w:rsidR="001A3EF0" w:rsidRPr="00D076AD" w:rsidRDefault="001A3EF0" w:rsidP="00652D29">
            <w:pPr>
              <w:spacing w:after="0"/>
              <w:rPr>
                <w:rFonts w:eastAsia="Times New Roman"/>
                <w:color w:val="auto"/>
                <w:lang w:eastAsia="en-A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A239F0" w14:textId="77777777" w:rsidR="001A3EF0" w:rsidRPr="00D076AD" w:rsidRDefault="001A3EF0" w:rsidP="00652D29">
            <w:pPr>
              <w:spacing w:after="0"/>
              <w:rPr>
                <w:rFonts w:eastAsia="Times New Roman"/>
                <w:color w:val="auto"/>
                <w:lang w:eastAsia="en-A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955732" w14:textId="400D2F0D" w:rsidR="001A3EF0" w:rsidRPr="00652D29" w:rsidRDefault="001A3EF0" w:rsidP="00652D29">
            <w:pPr>
              <w:spacing w:after="0"/>
              <w:jc w:val="center"/>
              <w:rPr>
                <w:rFonts w:eastAsia="Times New Roman"/>
                <w:b/>
                <w:bCs/>
                <w:color w:val="auto"/>
                <w:lang w:eastAsia="en-AU"/>
              </w:rPr>
            </w:pPr>
            <w:r w:rsidRPr="00652D29">
              <w:rPr>
                <w:rFonts w:eastAsia="Times New Roman"/>
                <w:b/>
                <w:bCs/>
                <w:color w:val="auto"/>
                <w:lang w:eastAsia="en-AU"/>
              </w:rPr>
              <w:t>Overall</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3EFD0B" w14:textId="304245B6" w:rsidR="001A3EF0" w:rsidRPr="00652D29" w:rsidRDefault="001A3EF0" w:rsidP="00652D29">
            <w:pPr>
              <w:spacing w:after="0"/>
              <w:jc w:val="center"/>
              <w:rPr>
                <w:rFonts w:eastAsia="Times New Roman"/>
                <w:b/>
                <w:bCs/>
                <w:color w:val="auto"/>
                <w:lang w:eastAsia="en-AU"/>
              </w:rPr>
            </w:pPr>
            <w:r w:rsidRPr="00652D29">
              <w:rPr>
                <w:rFonts w:eastAsia="Times New Roman"/>
                <w:b/>
                <w:bCs/>
                <w:color w:val="auto"/>
                <w:lang w:eastAsia="en-AU"/>
              </w:rPr>
              <w:t>Water related</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7E6DB4" w14:textId="716BCC0F" w:rsidR="001A3EF0" w:rsidRPr="00652D29" w:rsidRDefault="001A3EF0" w:rsidP="00652D29">
            <w:pPr>
              <w:spacing w:after="0"/>
              <w:jc w:val="center"/>
              <w:rPr>
                <w:rFonts w:eastAsia="Times New Roman"/>
                <w:b/>
                <w:bCs/>
                <w:color w:val="auto"/>
                <w:lang w:eastAsia="en-AU"/>
              </w:rPr>
            </w:pPr>
            <w:r w:rsidRPr="00652D29">
              <w:rPr>
                <w:rFonts w:eastAsia="Times New Roman"/>
                <w:b/>
                <w:bCs/>
                <w:color w:val="auto"/>
                <w:lang w:eastAsia="en-AU"/>
              </w:rPr>
              <w:t>Overall</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438303" w14:textId="4F803D28" w:rsidR="001A3EF0" w:rsidRPr="00652D29" w:rsidRDefault="001A3EF0" w:rsidP="00652D29">
            <w:pPr>
              <w:spacing w:after="0"/>
              <w:jc w:val="center"/>
              <w:rPr>
                <w:rFonts w:eastAsia="Times New Roman"/>
                <w:b/>
                <w:bCs/>
                <w:color w:val="auto"/>
                <w:lang w:eastAsia="en-AU"/>
              </w:rPr>
            </w:pPr>
            <w:r w:rsidRPr="00652D29">
              <w:rPr>
                <w:rFonts w:eastAsia="Times New Roman"/>
                <w:b/>
                <w:bCs/>
                <w:color w:val="auto"/>
                <w:lang w:eastAsia="en-AU"/>
              </w:rPr>
              <w:t>Water related</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05BDCB" w14:textId="77777777" w:rsidR="001A3EF0" w:rsidRPr="00D076AD" w:rsidRDefault="001A3EF0" w:rsidP="00652D29">
            <w:pPr>
              <w:spacing w:after="0"/>
              <w:rPr>
                <w:rFonts w:eastAsia="Times New Roman"/>
                <w:color w:val="auto"/>
                <w:lang w:eastAsia="en-AU"/>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4ED4F5" w14:textId="77777777" w:rsidR="001A3EF0" w:rsidRPr="00D076AD" w:rsidRDefault="001A3EF0" w:rsidP="00652D29">
            <w:pPr>
              <w:spacing w:after="0"/>
              <w:rPr>
                <w:rFonts w:eastAsia="Times New Roman"/>
                <w:color w:val="auto"/>
                <w:lang w:eastAsia="en-AU"/>
              </w:rPr>
            </w:pPr>
          </w:p>
        </w:tc>
        <w:tc>
          <w:tcPr>
            <w:tcW w:w="239" w:type="dxa"/>
            <w:tcBorders>
              <w:top w:val="nil"/>
              <w:left w:val="nil"/>
              <w:bottom w:val="nil"/>
              <w:right w:val="nil"/>
            </w:tcBorders>
            <w:shd w:val="clear" w:color="auto" w:fill="auto"/>
            <w:noWrap/>
            <w:vAlign w:val="bottom"/>
            <w:hideMark/>
          </w:tcPr>
          <w:p w14:paraId="324CAE65" w14:textId="77777777" w:rsidR="001A3EF0" w:rsidRPr="00D076AD" w:rsidRDefault="001A3EF0" w:rsidP="00652D29">
            <w:pPr>
              <w:spacing w:after="0"/>
              <w:rPr>
                <w:rFonts w:ascii="Times New Roman" w:eastAsia="Times New Roman" w:hAnsi="Times New Roman" w:cs="Times New Roman"/>
                <w:color w:val="auto"/>
                <w:lang w:eastAsia="en-AU"/>
              </w:rPr>
            </w:pPr>
          </w:p>
        </w:tc>
      </w:tr>
      <w:tr w:rsidR="00652D29" w:rsidRPr="00012446" w14:paraId="63226059" w14:textId="77777777" w:rsidTr="00652D29">
        <w:trPr>
          <w:trHeight w:val="70"/>
          <w:jc w:val="center"/>
        </w:trPr>
        <w:tc>
          <w:tcPr>
            <w:tcW w:w="1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CBEF30" w14:textId="77777777" w:rsidR="001A3EF0" w:rsidRPr="00D076AD" w:rsidRDefault="001A3EF0" w:rsidP="00652D29">
            <w:pPr>
              <w:spacing w:after="0"/>
              <w:rPr>
                <w:rFonts w:eastAsia="Times New Roman"/>
                <w:color w:val="auto"/>
                <w:lang w:eastAsia="en-AU"/>
              </w:rPr>
            </w:pPr>
          </w:p>
        </w:tc>
        <w:tc>
          <w:tcPr>
            <w:tcW w:w="2127" w:type="dxa"/>
            <w:gridSpan w:val="2"/>
            <w:vMerge/>
            <w:tcBorders>
              <w:left w:val="single" w:sz="4" w:space="0" w:color="auto"/>
              <w:bottom w:val="single" w:sz="4" w:space="0" w:color="auto"/>
              <w:right w:val="single" w:sz="4" w:space="0" w:color="auto"/>
            </w:tcBorders>
            <w:shd w:val="clear" w:color="auto" w:fill="auto"/>
          </w:tcPr>
          <w:p w14:paraId="1E978012" w14:textId="618A8E4E" w:rsidR="001A3EF0" w:rsidRPr="00D076AD" w:rsidRDefault="001A3EF0" w:rsidP="00652D29">
            <w:pPr>
              <w:spacing w:after="0"/>
              <w:rPr>
                <w:rFonts w:eastAsia="Times New Roman"/>
                <w:color w:val="auto"/>
                <w:lang w:eastAsia="en-A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190603" w14:textId="77777777" w:rsidR="001A3EF0" w:rsidRPr="00D076AD" w:rsidRDefault="001A3EF0" w:rsidP="00652D29">
            <w:pPr>
              <w:spacing w:after="0"/>
              <w:rPr>
                <w:rFonts w:eastAsia="Times New Roman"/>
                <w:color w:val="auto"/>
                <w:lang w:eastAsia="en-A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0861E8" w14:textId="77777777" w:rsidR="001A3EF0" w:rsidRPr="00D076AD" w:rsidRDefault="001A3EF0" w:rsidP="00652D29">
            <w:pPr>
              <w:spacing w:after="0"/>
              <w:rPr>
                <w:rFonts w:eastAsia="Times New Roman"/>
                <w:color w:val="auto"/>
                <w:lang w:eastAsia="en-A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F2A043" w14:textId="77777777" w:rsidR="001A3EF0" w:rsidRPr="00D076AD" w:rsidRDefault="001A3EF0" w:rsidP="00652D29">
            <w:pPr>
              <w:spacing w:after="0"/>
              <w:rPr>
                <w:rFonts w:eastAsia="Times New Roman"/>
                <w:color w:val="auto"/>
                <w:lang w:eastAsia="en-A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FAEE87" w14:textId="77777777" w:rsidR="001A3EF0" w:rsidRPr="00D076AD" w:rsidRDefault="001A3EF0" w:rsidP="00652D29">
            <w:pPr>
              <w:spacing w:after="0"/>
              <w:rPr>
                <w:rFonts w:eastAsia="Times New Roman"/>
                <w:color w:val="auto"/>
                <w:lang w:eastAsia="en-A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9D6FC1" w14:textId="77777777" w:rsidR="001A3EF0" w:rsidRPr="00D076AD" w:rsidRDefault="001A3EF0" w:rsidP="00652D29">
            <w:pPr>
              <w:spacing w:after="0"/>
              <w:rPr>
                <w:rFonts w:eastAsia="Times New Roman"/>
                <w:color w:val="auto"/>
                <w:lang w:eastAsia="en-A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D54098" w14:textId="77777777" w:rsidR="001A3EF0" w:rsidRPr="00D076AD" w:rsidRDefault="001A3EF0" w:rsidP="00652D29">
            <w:pPr>
              <w:spacing w:after="0"/>
              <w:rPr>
                <w:rFonts w:eastAsia="Times New Roman"/>
                <w:color w:val="auto"/>
                <w:lang w:eastAsia="en-A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1BB5E6" w14:textId="77777777" w:rsidR="001A3EF0" w:rsidRPr="00D076AD" w:rsidRDefault="001A3EF0" w:rsidP="00652D29">
            <w:pPr>
              <w:spacing w:after="0"/>
              <w:rPr>
                <w:rFonts w:eastAsia="Times New Roman"/>
                <w:color w:val="auto"/>
                <w:lang w:eastAsia="en-A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E189C" w14:textId="77777777" w:rsidR="001A3EF0" w:rsidRPr="00D076AD" w:rsidRDefault="001A3EF0" w:rsidP="00652D29">
            <w:pPr>
              <w:spacing w:after="0"/>
              <w:rPr>
                <w:rFonts w:eastAsia="Times New Roman"/>
                <w:color w:val="auto"/>
                <w:lang w:eastAsia="en-AU"/>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A313A0" w14:textId="77777777" w:rsidR="001A3EF0" w:rsidRPr="00D076AD" w:rsidRDefault="001A3EF0" w:rsidP="00652D29">
            <w:pPr>
              <w:spacing w:after="0"/>
              <w:rPr>
                <w:rFonts w:eastAsia="Times New Roman"/>
                <w:color w:val="auto"/>
                <w:lang w:eastAsia="en-AU"/>
              </w:rPr>
            </w:pPr>
          </w:p>
        </w:tc>
        <w:tc>
          <w:tcPr>
            <w:tcW w:w="239" w:type="dxa"/>
            <w:tcBorders>
              <w:top w:val="nil"/>
              <w:left w:val="nil"/>
              <w:bottom w:val="nil"/>
              <w:right w:val="nil"/>
            </w:tcBorders>
            <w:shd w:val="clear" w:color="auto" w:fill="auto"/>
            <w:noWrap/>
            <w:vAlign w:val="bottom"/>
            <w:hideMark/>
          </w:tcPr>
          <w:p w14:paraId="1734E42D" w14:textId="77777777" w:rsidR="001A3EF0" w:rsidRPr="00D076AD" w:rsidRDefault="001A3EF0" w:rsidP="00652D29">
            <w:pPr>
              <w:spacing w:after="0"/>
              <w:rPr>
                <w:rFonts w:ascii="Times New Roman" w:eastAsia="Times New Roman" w:hAnsi="Times New Roman" w:cs="Times New Roman"/>
                <w:color w:val="auto"/>
                <w:lang w:eastAsia="en-AU"/>
              </w:rPr>
            </w:pPr>
          </w:p>
        </w:tc>
      </w:tr>
      <w:tr w:rsidR="00CE3A46" w:rsidRPr="00012446" w14:paraId="76224434" w14:textId="77777777" w:rsidTr="00E45AA6">
        <w:trPr>
          <w:trHeight w:val="285"/>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7138B" w14:textId="2AE165E5" w:rsidR="00CE3A46" w:rsidRPr="00D076AD" w:rsidRDefault="00CE3A46" w:rsidP="00CE3A46">
            <w:pPr>
              <w:spacing w:after="0"/>
              <w:rPr>
                <w:rFonts w:eastAsia="Times New Roman"/>
                <w:color w:val="auto"/>
                <w:lang w:eastAsia="en-AU"/>
              </w:rPr>
            </w:pPr>
            <w:r w:rsidRPr="00D076AD">
              <w:rPr>
                <w:color w:val="auto"/>
              </w:rPr>
              <w:t>Afghanistan</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7E32BC4F" w14:textId="0CBD71F8" w:rsidR="00CE3A46" w:rsidRPr="00D076AD" w:rsidRDefault="00CE3A46" w:rsidP="00CE3A46">
            <w:pPr>
              <w:spacing w:after="0"/>
              <w:rPr>
                <w:color w:val="auto"/>
              </w:rPr>
            </w:pPr>
            <w:r w:rsidRPr="00D076AD">
              <w:rPr>
                <w:color w:val="auto"/>
              </w:rPr>
              <w:t>Extremely high</w:t>
            </w:r>
          </w:p>
        </w:tc>
        <w:tc>
          <w:tcPr>
            <w:tcW w:w="709" w:type="dxa"/>
            <w:tcBorders>
              <w:top w:val="nil"/>
              <w:left w:val="nil"/>
              <w:bottom w:val="single" w:sz="4" w:space="0" w:color="333333"/>
              <w:right w:val="single" w:sz="4" w:space="0" w:color="333333"/>
            </w:tcBorders>
            <w:shd w:val="clear" w:color="auto" w:fill="auto"/>
            <w:noWrap/>
            <w:vAlign w:val="center"/>
          </w:tcPr>
          <w:p w14:paraId="6FB10595" w14:textId="0FF0AC70" w:rsidR="00CE3A46" w:rsidRPr="00D076AD" w:rsidRDefault="00CE3A46" w:rsidP="00CE3A46">
            <w:pPr>
              <w:spacing w:after="0"/>
              <w:rPr>
                <w:rFonts w:eastAsia="Times New Roman"/>
                <w:color w:val="auto"/>
                <w:lang w:eastAsia="en-AU"/>
              </w:rPr>
            </w:pPr>
            <w:r w:rsidRPr="00D076AD">
              <w:rPr>
                <w:color w:val="auto"/>
              </w:rPr>
              <w:t>23.3</w:t>
            </w:r>
          </w:p>
        </w:tc>
        <w:tc>
          <w:tcPr>
            <w:tcW w:w="1417" w:type="dxa"/>
            <w:tcBorders>
              <w:top w:val="nil"/>
              <w:left w:val="single" w:sz="4" w:space="0" w:color="333333"/>
              <w:bottom w:val="single" w:sz="4" w:space="0" w:color="333333"/>
              <w:right w:val="single" w:sz="4" w:space="0" w:color="333333"/>
            </w:tcBorders>
            <w:shd w:val="clear" w:color="auto" w:fill="auto"/>
            <w:noWrap/>
            <w:vAlign w:val="center"/>
          </w:tcPr>
          <w:p w14:paraId="75301239" w14:textId="5CCAED6D" w:rsidR="00CE3A46" w:rsidRPr="00D076AD" w:rsidRDefault="00CE3A46" w:rsidP="00CE3A46">
            <w:pPr>
              <w:spacing w:after="0"/>
              <w:jc w:val="center"/>
              <w:rPr>
                <w:rFonts w:eastAsia="Times New Roman"/>
                <w:color w:val="auto"/>
                <w:lang w:eastAsia="en-AU"/>
              </w:rPr>
            </w:pPr>
            <w:r w:rsidRPr="00D076AD">
              <w:rPr>
                <w:color w:val="auto"/>
              </w:rPr>
              <w:t>4.8</w:t>
            </w:r>
          </w:p>
        </w:tc>
        <w:tc>
          <w:tcPr>
            <w:tcW w:w="1843" w:type="dxa"/>
            <w:tcBorders>
              <w:top w:val="nil"/>
              <w:left w:val="single" w:sz="4" w:space="0" w:color="333333"/>
              <w:bottom w:val="single" w:sz="4" w:space="0" w:color="333333"/>
              <w:right w:val="single" w:sz="8" w:space="0" w:color="333333"/>
            </w:tcBorders>
            <w:shd w:val="clear" w:color="auto" w:fill="auto"/>
            <w:noWrap/>
            <w:vAlign w:val="center"/>
          </w:tcPr>
          <w:p w14:paraId="50380087" w14:textId="4D5A102E" w:rsidR="00CE3A46" w:rsidRPr="00D076AD" w:rsidRDefault="00CE3A46" w:rsidP="00CE3A46">
            <w:pPr>
              <w:spacing w:after="0"/>
              <w:jc w:val="center"/>
              <w:rPr>
                <w:rFonts w:eastAsia="Times New Roman"/>
                <w:color w:val="auto"/>
                <w:lang w:eastAsia="en-AU"/>
              </w:rPr>
            </w:pPr>
            <w:r w:rsidRPr="00D076AD">
              <w:rPr>
                <w:color w:val="auto"/>
              </w:rPr>
              <w:t>4.9</w:t>
            </w:r>
          </w:p>
        </w:tc>
        <w:tc>
          <w:tcPr>
            <w:tcW w:w="992" w:type="dxa"/>
            <w:tcBorders>
              <w:top w:val="nil"/>
              <w:left w:val="nil"/>
              <w:bottom w:val="single" w:sz="4" w:space="0" w:color="333333"/>
              <w:right w:val="single" w:sz="4" w:space="0" w:color="333333"/>
            </w:tcBorders>
            <w:shd w:val="clear" w:color="auto" w:fill="auto"/>
            <w:noWrap/>
          </w:tcPr>
          <w:p w14:paraId="35565A6D" w14:textId="104FA6CE" w:rsidR="00CE3A46" w:rsidRPr="00CE3A46" w:rsidRDefault="00CE3A46" w:rsidP="00CE3A46">
            <w:pPr>
              <w:spacing w:after="0"/>
              <w:jc w:val="center"/>
              <w:rPr>
                <w:color w:val="auto"/>
              </w:rPr>
            </w:pPr>
            <w:r w:rsidRPr="00CE3A46">
              <w:rPr>
                <w:color w:val="auto"/>
              </w:rPr>
              <w:t>4.7</w:t>
            </w:r>
          </w:p>
        </w:tc>
        <w:tc>
          <w:tcPr>
            <w:tcW w:w="1134" w:type="dxa"/>
            <w:tcBorders>
              <w:top w:val="nil"/>
              <w:left w:val="single" w:sz="4" w:space="0" w:color="333333"/>
              <w:bottom w:val="single" w:sz="4" w:space="0" w:color="333333"/>
              <w:right w:val="single" w:sz="4" w:space="0" w:color="333333"/>
            </w:tcBorders>
            <w:shd w:val="clear" w:color="auto" w:fill="auto"/>
            <w:noWrap/>
          </w:tcPr>
          <w:p w14:paraId="4CD7DEE3" w14:textId="68E0E106" w:rsidR="00CE3A46" w:rsidRPr="00CE3A46" w:rsidRDefault="00CE3A46" w:rsidP="00CE3A46">
            <w:pPr>
              <w:spacing w:after="0"/>
              <w:jc w:val="center"/>
              <w:rPr>
                <w:color w:val="auto"/>
              </w:rPr>
            </w:pPr>
            <w:r w:rsidRPr="00CE3A46">
              <w:rPr>
                <w:color w:val="auto"/>
              </w:rPr>
              <w:t>4.8</w:t>
            </w:r>
          </w:p>
        </w:tc>
        <w:tc>
          <w:tcPr>
            <w:tcW w:w="1134" w:type="dxa"/>
            <w:tcBorders>
              <w:top w:val="nil"/>
              <w:left w:val="single" w:sz="4" w:space="0" w:color="333333"/>
              <w:bottom w:val="single" w:sz="4" w:space="0" w:color="333333"/>
              <w:right w:val="single" w:sz="4" w:space="0" w:color="333333"/>
            </w:tcBorders>
            <w:shd w:val="clear" w:color="auto" w:fill="auto"/>
            <w:noWrap/>
          </w:tcPr>
          <w:p w14:paraId="108E9BC2" w14:textId="3AAF52A8" w:rsidR="00CE3A46" w:rsidRPr="00CE3A46" w:rsidRDefault="00CE3A46" w:rsidP="00CE3A46">
            <w:pPr>
              <w:spacing w:after="0"/>
              <w:jc w:val="center"/>
              <w:rPr>
                <w:color w:val="auto"/>
              </w:rPr>
            </w:pPr>
            <w:r w:rsidRPr="00CE3A46">
              <w:rPr>
                <w:color w:val="auto"/>
              </w:rPr>
              <w:t>4.5</w:t>
            </w:r>
          </w:p>
        </w:tc>
        <w:tc>
          <w:tcPr>
            <w:tcW w:w="1134" w:type="dxa"/>
            <w:tcBorders>
              <w:top w:val="nil"/>
              <w:left w:val="single" w:sz="4" w:space="0" w:color="333333"/>
              <w:bottom w:val="single" w:sz="4" w:space="0" w:color="333333"/>
              <w:right w:val="single" w:sz="4" w:space="0" w:color="333333"/>
            </w:tcBorders>
            <w:shd w:val="clear" w:color="auto" w:fill="auto"/>
            <w:noWrap/>
          </w:tcPr>
          <w:p w14:paraId="49FA2D87" w14:textId="4D841326" w:rsidR="00CE3A46" w:rsidRPr="00CE3A46" w:rsidRDefault="00CE3A46" w:rsidP="00CE3A46">
            <w:pPr>
              <w:spacing w:after="0"/>
              <w:jc w:val="center"/>
              <w:rPr>
                <w:color w:val="auto"/>
              </w:rPr>
            </w:pPr>
            <w:r w:rsidRPr="00CE3A46">
              <w:rPr>
                <w:color w:val="auto"/>
              </w:rPr>
              <w:t>5.0</w:t>
            </w:r>
          </w:p>
        </w:tc>
        <w:tc>
          <w:tcPr>
            <w:tcW w:w="1134" w:type="dxa"/>
            <w:tcBorders>
              <w:top w:val="nil"/>
              <w:left w:val="single" w:sz="4" w:space="0" w:color="333333"/>
              <w:bottom w:val="single" w:sz="4" w:space="0" w:color="333333"/>
              <w:right w:val="single" w:sz="4" w:space="0" w:color="333333"/>
            </w:tcBorders>
            <w:shd w:val="clear" w:color="auto" w:fill="auto"/>
            <w:noWrap/>
          </w:tcPr>
          <w:p w14:paraId="1DB17BE5" w14:textId="3F4EDDD1" w:rsidR="00CE3A46" w:rsidRPr="00CE3A46" w:rsidRDefault="00CE3A46" w:rsidP="00CE3A46">
            <w:pPr>
              <w:spacing w:after="0"/>
              <w:jc w:val="center"/>
              <w:rPr>
                <w:color w:val="auto"/>
              </w:rPr>
            </w:pPr>
            <w:r w:rsidRPr="00CE3A46">
              <w:rPr>
                <w:color w:val="auto"/>
              </w:rPr>
              <w:t>4.9</w:t>
            </w:r>
          </w:p>
        </w:tc>
        <w:tc>
          <w:tcPr>
            <w:tcW w:w="1418" w:type="dxa"/>
            <w:tcBorders>
              <w:top w:val="nil"/>
              <w:left w:val="single" w:sz="4" w:space="0" w:color="333333"/>
              <w:bottom w:val="single" w:sz="4" w:space="0" w:color="333333"/>
              <w:right w:val="single" w:sz="4" w:space="0" w:color="333333"/>
            </w:tcBorders>
            <w:shd w:val="clear" w:color="auto" w:fill="auto"/>
            <w:noWrap/>
          </w:tcPr>
          <w:p w14:paraId="3CEAD097" w14:textId="5AF40621" w:rsidR="00CE3A46" w:rsidRPr="00CE3A46" w:rsidRDefault="00CE3A46" w:rsidP="00CE3A46">
            <w:pPr>
              <w:spacing w:after="0"/>
              <w:jc w:val="center"/>
              <w:rPr>
                <w:color w:val="auto"/>
              </w:rPr>
            </w:pPr>
            <w:r w:rsidRPr="00CE3A46">
              <w:rPr>
                <w:color w:val="auto"/>
              </w:rPr>
              <w:t>5.0</w:t>
            </w:r>
          </w:p>
        </w:tc>
        <w:tc>
          <w:tcPr>
            <w:tcW w:w="1105" w:type="dxa"/>
            <w:tcBorders>
              <w:top w:val="nil"/>
              <w:left w:val="single" w:sz="4" w:space="0" w:color="333333"/>
              <w:bottom w:val="single" w:sz="4" w:space="0" w:color="333333"/>
              <w:right w:val="single" w:sz="4" w:space="0" w:color="333333"/>
            </w:tcBorders>
            <w:shd w:val="clear" w:color="auto" w:fill="auto"/>
            <w:noWrap/>
          </w:tcPr>
          <w:p w14:paraId="175106E0" w14:textId="25105A8C" w:rsidR="00CE3A46" w:rsidRPr="00CE3A46" w:rsidRDefault="00CE3A46" w:rsidP="00CE3A46">
            <w:pPr>
              <w:spacing w:after="0"/>
              <w:jc w:val="center"/>
              <w:rPr>
                <w:color w:val="auto"/>
              </w:rPr>
            </w:pPr>
            <w:r w:rsidRPr="00CE3A46">
              <w:rPr>
                <w:color w:val="auto"/>
              </w:rPr>
              <w:t>4.7</w:t>
            </w:r>
          </w:p>
        </w:tc>
        <w:tc>
          <w:tcPr>
            <w:tcW w:w="239" w:type="dxa"/>
            <w:shd w:val="clear" w:color="auto" w:fill="auto"/>
            <w:vAlign w:val="center"/>
            <w:hideMark/>
          </w:tcPr>
          <w:p w14:paraId="1A8186EF"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2025F71C"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1B9F86BD" w14:textId="65C916DB" w:rsidR="00CE3A46" w:rsidRPr="00D076AD" w:rsidRDefault="00CE3A46" w:rsidP="00CE3A46">
            <w:pPr>
              <w:spacing w:after="0"/>
              <w:rPr>
                <w:rFonts w:eastAsia="Times New Roman"/>
                <w:color w:val="auto"/>
                <w:lang w:eastAsia="en-AU"/>
              </w:rPr>
            </w:pPr>
            <w:r w:rsidRPr="00D076AD">
              <w:rPr>
                <w:color w:val="auto"/>
              </w:rPr>
              <w:t>Micronesia, Federated States of</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73A03262" w14:textId="049F6BD9" w:rsidR="00CE3A46" w:rsidRPr="00D076AD" w:rsidRDefault="00CE3A46" w:rsidP="00CE3A46">
            <w:pPr>
              <w:spacing w:after="0"/>
              <w:rPr>
                <w:color w:val="auto"/>
              </w:rPr>
            </w:pPr>
            <w:r w:rsidRPr="00D076AD">
              <w:rPr>
                <w:color w:val="auto"/>
              </w:rPr>
              <w:t>Extremely high</w:t>
            </w:r>
          </w:p>
        </w:tc>
        <w:tc>
          <w:tcPr>
            <w:tcW w:w="709" w:type="dxa"/>
            <w:tcBorders>
              <w:top w:val="nil"/>
              <w:left w:val="nil"/>
              <w:bottom w:val="single" w:sz="4" w:space="0" w:color="333333"/>
              <w:right w:val="single" w:sz="4" w:space="0" w:color="333333"/>
            </w:tcBorders>
            <w:shd w:val="clear" w:color="auto" w:fill="auto"/>
            <w:noWrap/>
            <w:vAlign w:val="center"/>
          </w:tcPr>
          <w:p w14:paraId="1B0BD5A5" w14:textId="57341810" w:rsidR="00CE3A46" w:rsidRPr="00D076AD" w:rsidRDefault="00CE3A46" w:rsidP="00CE3A46">
            <w:pPr>
              <w:spacing w:after="0"/>
              <w:rPr>
                <w:rFonts w:eastAsia="Times New Roman"/>
                <w:color w:val="auto"/>
                <w:lang w:eastAsia="en-AU"/>
              </w:rPr>
            </w:pPr>
            <w:r w:rsidRPr="00D076AD">
              <w:rPr>
                <w:color w:val="auto"/>
              </w:rPr>
              <w:t>19.3</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300FD923" w14:textId="09B10772" w:rsidR="00CE3A46" w:rsidRPr="00D076AD" w:rsidRDefault="00CE3A46" w:rsidP="00CE3A46">
            <w:pPr>
              <w:spacing w:after="0"/>
              <w:jc w:val="center"/>
              <w:rPr>
                <w:rFonts w:eastAsia="Times New Roman"/>
                <w:color w:val="auto"/>
                <w:lang w:eastAsia="en-AU"/>
              </w:rPr>
            </w:pPr>
            <w:r w:rsidRPr="00D076AD">
              <w:rPr>
                <w:color w:val="auto"/>
              </w:rPr>
              <w:t>4.3</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6B09D50D" w14:textId="68755C84" w:rsidR="00CE3A46" w:rsidRPr="00D076AD" w:rsidRDefault="00CE3A46" w:rsidP="00CE3A46">
            <w:pPr>
              <w:spacing w:after="0"/>
              <w:jc w:val="center"/>
              <w:rPr>
                <w:rFonts w:eastAsia="Times New Roman"/>
                <w:color w:val="auto"/>
                <w:lang w:eastAsia="en-AU"/>
              </w:rPr>
            </w:pPr>
            <w:r w:rsidRPr="00D076AD">
              <w:rPr>
                <w:color w:val="auto"/>
              </w:rPr>
              <w:t>4.5</w:t>
            </w:r>
          </w:p>
        </w:tc>
        <w:tc>
          <w:tcPr>
            <w:tcW w:w="992" w:type="dxa"/>
            <w:tcBorders>
              <w:top w:val="single" w:sz="4" w:space="0" w:color="333333"/>
              <w:left w:val="nil"/>
              <w:bottom w:val="single" w:sz="4" w:space="0" w:color="333333"/>
              <w:right w:val="single" w:sz="4" w:space="0" w:color="333333"/>
            </w:tcBorders>
            <w:shd w:val="clear" w:color="auto" w:fill="auto"/>
            <w:noWrap/>
          </w:tcPr>
          <w:p w14:paraId="5C02A531" w14:textId="4969C9CB" w:rsidR="00CE3A46" w:rsidRPr="00CE3A46" w:rsidRDefault="00CE3A46" w:rsidP="00CE3A46">
            <w:pPr>
              <w:spacing w:after="0"/>
              <w:jc w:val="center"/>
              <w:rPr>
                <w:color w:val="auto"/>
              </w:rPr>
            </w:pPr>
            <w:r w:rsidRPr="00CE3A46">
              <w:rPr>
                <w:color w:val="auto"/>
              </w:rPr>
              <w:t>3.6</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6C883D03" w14:textId="191D3EB8" w:rsidR="00CE3A46" w:rsidRPr="00CE3A46" w:rsidRDefault="00CE3A46" w:rsidP="00CE3A46">
            <w:pPr>
              <w:spacing w:after="0"/>
              <w:jc w:val="center"/>
              <w:rPr>
                <w:color w:val="auto"/>
              </w:rPr>
            </w:pPr>
            <w:r w:rsidRPr="00CE3A46">
              <w:rPr>
                <w:color w:val="auto"/>
              </w:rPr>
              <w:t>4.9</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419991BA" w14:textId="081E8652" w:rsidR="00CE3A46" w:rsidRPr="00CE3A46" w:rsidRDefault="00CE3A46" w:rsidP="00CE3A46">
            <w:pPr>
              <w:spacing w:after="0"/>
              <w:jc w:val="center"/>
              <w:rPr>
                <w:color w:val="auto"/>
              </w:rPr>
            </w:pPr>
            <w:r w:rsidRPr="00CE3A46">
              <w:rPr>
                <w:color w:val="auto"/>
              </w:rPr>
              <w:t>5.0</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3B786D4E" w14:textId="0C955642" w:rsidR="00CE3A46" w:rsidRPr="00CE3A46" w:rsidRDefault="00CE3A46" w:rsidP="00CE3A46">
            <w:pPr>
              <w:spacing w:after="0"/>
              <w:jc w:val="center"/>
              <w:rPr>
                <w:color w:val="auto"/>
              </w:rPr>
            </w:pPr>
            <w:r w:rsidRPr="00CE3A46">
              <w:rPr>
                <w:color w:val="auto"/>
              </w:rPr>
              <w:t>4.7</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16060FEC" w14:textId="170BA55E" w:rsidR="00CE3A46" w:rsidRPr="00CE3A46" w:rsidRDefault="00CE3A46" w:rsidP="00CE3A46">
            <w:pPr>
              <w:spacing w:after="0"/>
              <w:jc w:val="center"/>
              <w:rPr>
                <w:color w:val="auto"/>
              </w:rPr>
            </w:pPr>
            <w:r w:rsidRPr="00CE3A46">
              <w:rPr>
                <w:color w:val="auto"/>
              </w:rPr>
              <w:t>4.7</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019D8843" w14:textId="3DE9ECEA"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1381164F" w14:textId="78AB4D5E" w:rsidR="00CE3A46" w:rsidRPr="00CE3A46" w:rsidRDefault="00CE3A46" w:rsidP="00CE3A46">
            <w:pPr>
              <w:spacing w:after="0"/>
              <w:jc w:val="center"/>
              <w:rPr>
                <w:color w:val="auto"/>
              </w:rPr>
            </w:pPr>
            <w:r w:rsidRPr="00CE3A46">
              <w:rPr>
                <w:color w:val="auto"/>
              </w:rPr>
              <w:t>3.8</w:t>
            </w:r>
          </w:p>
        </w:tc>
        <w:tc>
          <w:tcPr>
            <w:tcW w:w="239" w:type="dxa"/>
            <w:shd w:val="clear" w:color="auto" w:fill="auto"/>
            <w:vAlign w:val="center"/>
            <w:hideMark/>
          </w:tcPr>
          <w:p w14:paraId="5A418F5E"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3E8F68CA"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6B85A2D1" w14:textId="10B90BBE" w:rsidR="00CE3A46" w:rsidRPr="00D076AD" w:rsidRDefault="00CE3A46" w:rsidP="00CE3A46">
            <w:pPr>
              <w:spacing w:after="0"/>
              <w:rPr>
                <w:rFonts w:eastAsia="Times New Roman"/>
                <w:color w:val="auto"/>
                <w:lang w:eastAsia="en-AU"/>
              </w:rPr>
            </w:pPr>
            <w:r w:rsidRPr="00D076AD">
              <w:rPr>
                <w:color w:val="auto"/>
              </w:rPr>
              <w:t>Lao People’s Democratic Republic</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6AF41072" w14:textId="7D36E1BD" w:rsidR="00CE3A46" w:rsidRPr="00D076AD" w:rsidRDefault="00CE3A46" w:rsidP="00CE3A46">
            <w:pPr>
              <w:spacing w:after="0"/>
              <w:rPr>
                <w:color w:val="auto"/>
              </w:rPr>
            </w:pPr>
            <w:r w:rsidRPr="00D076AD">
              <w:rPr>
                <w:color w:val="auto"/>
              </w:rPr>
              <w:t>Extremely high</w:t>
            </w:r>
          </w:p>
        </w:tc>
        <w:tc>
          <w:tcPr>
            <w:tcW w:w="709" w:type="dxa"/>
            <w:tcBorders>
              <w:top w:val="nil"/>
              <w:left w:val="nil"/>
              <w:bottom w:val="single" w:sz="4" w:space="0" w:color="333333"/>
              <w:right w:val="single" w:sz="4" w:space="0" w:color="333333"/>
            </w:tcBorders>
            <w:shd w:val="clear" w:color="auto" w:fill="auto"/>
            <w:noWrap/>
            <w:vAlign w:val="center"/>
          </w:tcPr>
          <w:p w14:paraId="65C50498" w14:textId="4D37728D" w:rsidR="00CE3A46" w:rsidRPr="00D076AD" w:rsidRDefault="00CE3A46" w:rsidP="00CE3A46">
            <w:pPr>
              <w:spacing w:after="0"/>
              <w:rPr>
                <w:rFonts w:eastAsia="Times New Roman"/>
                <w:color w:val="auto"/>
                <w:lang w:eastAsia="en-AU"/>
              </w:rPr>
            </w:pPr>
            <w:r w:rsidRPr="00D076AD">
              <w:rPr>
                <w:color w:val="auto"/>
              </w:rPr>
              <w:t>18.8</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524E1B50" w14:textId="1FB5047A" w:rsidR="00CE3A46" w:rsidRPr="00D076AD" w:rsidRDefault="00CE3A46" w:rsidP="00CE3A46">
            <w:pPr>
              <w:spacing w:after="0"/>
              <w:jc w:val="center"/>
              <w:rPr>
                <w:rFonts w:eastAsia="Times New Roman"/>
                <w:color w:val="auto"/>
                <w:lang w:eastAsia="en-AU"/>
              </w:rPr>
            </w:pPr>
            <w:r w:rsidRPr="00D076AD">
              <w:rPr>
                <w:color w:val="auto"/>
              </w:rPr>
              <w:t>4.5</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197AA05C" w14:textId="178B6B34" w:rsidR="00CE3A46" w:rsidRPr="00D076AD" w:rsidRDefault="00CE3A46" w:rsidP="00CE3A46">
            <w:pPr>
              <w:spacing w:after="0"/>
              <w:jc w:val="center"/>
              <w:rPr>
                <w:rFonts w:eastAsia="Times New Roman"/>
                <w:color w:val="auto"/>
                <w:lang w:eastAsia="en-AU"/>
              </w:rPr>
            </w:pPr>
            <w:r w:rsidRPr="00D076AD">
              <w:rPr>
                <w:color w:val="auto"/>
              </w:rPr>
              <w:t>4.2</w:t>
            </w:r>
          </w:p>
        </w:tc>
        <w:tc>
          <w:tcPr>
            <w:tcW w:w="992" w:type="dxa"/>
            <w:tcBorders>
              <w:top w:val="single" w:sz="4" w:space="0" w:color="333333"/>
              <w:left w:val="nil"/>
              <w:bottom w:val="single" w:sz="4" w:space="0" w:color="333333"/>
              <w:right w:val="single" w:sz="4" w:space="0" w:color="333333"/>
            </w:tcBorders>
            <w:shd w:val="clear" w:color="auto" w:fill="auto"/>
            <w:noWrap/>
          </w:tcPr>
          <w:p w14:paraId="4D9ABE56" w14:textId="222C05D7" w:rsidR="00CE3A46" w:rsidRPr="00CE3A46" w:rsidRDefault="00CE3A46" w:rsidP="00CE3A46">
            <w:pPr>
              <w:spacing w:after="0"/>
              <w:jc w:val="center"/>
              <w:rPr>
                <w:color w:val="auto"/>
              </w:rPr>
            </w:pPr>
            <w:r w:rsidRPr="00CE3A46">
              <w:rPr>
                <w:color w:val="auto"/>
              </w:rPr>
              <w:t>5.0</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4484C21B" w14:textId="39519B5B" w:rsidR="00CE3A46" w:rsidRPr="00CE3A46" w:rsidRDefault="00CE3A46" w:rsidP="00CE3A46">
            <w:pPr>
              <w:spacing w:after="0"/>
              <w:jc w:val="center"/>
              <w:rPr>
                <w:color w:val="auto"/>
              </w:rPr>
            </w:pPr>
            <w:r w:rsidRPr="00CE3A46">
              <w:rPr>
                <w:color w:val="auto"/>
              </w:rPr>
              <w:t>3.9</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34176FFC" w14:textId="465C37E0" w:rsidR="00CE3A46" w:rsidRPr="00CE3A46" w:rsidRDefault="00CE3A46" w:rsidP="00CE3A46">
            <w:pPr>
              <w:spacing w:after="0"/>
              <w:jc w:val="center"/>
              <w:rPr>
                <w:color w:val="auto"/>
              </w:rPr>
            </w:pPr>
            <w:r w:rsidRPr="00CE3A46">
              <w:rPr>
                <w:color w:val="auto"/>
              </w:rPr>
              <w:t>3.7</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022FD8CA" w14:textId="3AC1FE8F" w:rsidR="00CE3A46" w:rsidRPr="00CE3A46" w:rsidRDefault="00CE3A46" w:rsidP="00CE3A46">
            <w:pPr>
              <w:spacing w:after="0"/>
              <w:jc w:val="center"/>
              <w:rPr>
                <w:color w:val="auto"/>
              </w:rPr>
            </w:pPr>
            <w:r w:rsidRPr="00CE3A46">
              <w:rPr>
                <w:color w:val="auto"/>
              </w:rPr>
              <w:t>3.7</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009C6061" w14:textId="68810141" w:rsidR="00CE3A46" w:rsidRPr="00CE3A46" w:rsidRDefault="00CE3A46" w:rsidP="00CE3A46">
            <w:pPr>
              <w:spacing w:after="0"/>
              <w:jc w:val="center"/>
              <w:rPr>
                <w:color w:val="auto"/>
              </w:rPr>
            </w:pPr>
            <w:r w:rsidRPr="00CE3A46">
              <w:rPr>
                <w:color w:val="auto"/>
              </w:rPr>
              <w:t>4.4</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0A2A160D" w14:textId="58592594"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0B9CACAA" w14:textId="724DCE74" w:rsidR="00CE3A46" w:rsidRPr="00CE3A46" w:rsidRDefault="00CE3A46" w:rsidP="00CE3A46">
            <w:pPr>
              <w:spacing w:after="0"/>
              <w:jc w:val="center"/>
              <w:rPr>
                <w:color w:val="auto"/>
              </w:rPr>
            </w:pPr>
            <w:r w:rsidRPr="00CE3A46">
              <w:rPr>
                <w:color w:val="auto"/>
              </w:rPr>
              <w:t>3.9</w:t>
            </w:r>
          </w:p>
        </w:tc>
        <w:tc>
          <w:tcPr>
            <w:tcW w:w="239" w:type="dxa"/>
            <w:shd w:val="clear" w:color="auto" w:fill="auto"/>
            <w:vAlign w:val="center"/>
            <w:hideMark/>
          </w:tcPr>
          <w:p w14:paraId="1498A219"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1205FA25"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1EB3D2E6" w14:textId="07E62C1C" w:rsidR="00CE3A46" w:rsidRPr="00D076AD" w:rsidRDefault="00CE3A46" w:rsidP="00CE3A46">
            <w:pPr>
              <w:spacing w:after="0"/>
              <w:rPr>
                <w:rFonts w:eastAsia="Times New Roman"/>
                <w:color w:val="auto"/>
                <w:lang w:eastAsia="en-AU"/>
              </w:rPr>
            </w:pPr>
            <w:r w:rsidRPr="00D076AD">
              <w:rPr>
                <w:color w:val="auto"/>
              </w:rPr>
              <w:t>Nepal</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00FD85A3" w14:textId="3A0FDBBC" w:rsidR="00CE3A46" w:rsidRPr="00D076AD" w:rsidRDefault="00CE3A46" w:rsidP="00CE3A46">
            <w:pPr>
              <w:spacing w:after="0"/>
              <w:rPr>
                <w:color w:val="auto"/>
              </w:rPr>
            </w:pPr>
            <w:r w:rsidRPr="00D076AD">
              <w:rPr>
                <w:color w:val="auto"/>
              </w:rPr>
              <w:t>Extremely high</w:t>
            </w:r>
          </w:p>
        </w:tc>
        <w:tc>
          <w:tcPr>
            <w:tcW w:w="709" w:type="dxa"/>
            <w:tcBorders>
              <w:top w:val="nil"/>
              <w:left w:val="nil"/>
              <w:bottom w:val="single" w:sz="4" w:space="0" w:color="333333"/>
              <w:right w:val="single" w:sz="4" w:space="0" w:color="333333"/>
            </w:tcBorders>
            <w:shd w:val="clear" w:color="auto" w:fill="auto"/>
            <w:noWrap/>
            <w:vAlign w:val="center"/>
          </w:tcPr>
          <w:p w14:paraId="3945E743" w14:textId="3D86CDD7" w:rsidR="00CE3A46" w:rsidRPr="00D076AD" w:rsidRDefault="00CE3A46" w:rsidP="00CE3A46">
            <w:pPr>
              <w:spacing w:after="0"/>
              <w:rPr>
                <w:rFonts w:eastAsia="Times New Roman"/>
                <w:color w:val="auto"/>
                <w:lang w:eastAsia="en-AU"/>
              </w:rPr>
            </w:pPr>
            <w:r w:rsidRPr="00D076AD">
              <w:rPr>
                <w:color w:val="auto"/>
              </w:rPr>
              <w:t>18.3</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49C5C450" w14:textId="701890AC" w:rsidR="00CE3A46" w:rsidRPr="00D076AD" w:rsidRDefault="00CE3A46" w:rsidP="00CE3A46">
            <w:pPr>
              <w:spacing w:after="0"/>
              <w:jc w:val="center"/>
              <w:rPr>
                <w:rFonts w:eastAsia="Times New Roman"/>
                <w:color w:val="auto"/>
                <w:lang w:eastAsia="en-AU"/>
              </w:rPr>
            </w:pPr>
            <w:r w:rsidRPr="00D076AD">
              <w:rPr>
                <w:color w:val="auto"/>
              </w:rPr>
              <w:t>4.2</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43091C23" w14:textId="4E3D3B10" w:rsidR="00CE3A46" w:rsidRPr="00D076AD" w:rsidRDefault="00CE3A46" w:rsidP="00CE3A46">
            <w:pPr>
              <w:spacing w:after="0"/>
              <w:jc w:val="center"/>
              <w:rPr>
                <w:rFonts w:eastAsia="Times New Roman"/>
                <w:color w:val="auto"/>
                <w:lang w:eastAsia="en-AU"/>
              </w:rPr>
            </w:pPr>
            <w:r w:rsidRPr="00D076AD">
              <w:rPr>
                <w:color w:val="auto"/>
              </w:rPr>
              <w:t>4.3</w:t>
            </w:r>
          </w:p>
        </w:tc>
        <w:tc>
          <w:tcPr>
            <w:tcW w:w="992" w:type="dxa"/>
            <w:tcBorders>
              <w:top w:val="single" w:sz="4" w:space="0" w:color="333333"/>
              <w:left w:val="nil"/>
              <w:bottom w:val="single" w:sz="4" w:space="0" w:color="333333"/>
              <w:right w:val="single" w:sz="4" w:space="0" w:color="333333"/>
            </w:tcBorders>
            <w:shd w:val="clear" w:color="auto" w:fill="auto"/>
            <w:noWrap/>
          </w:tcPr>
          <w:p w14:paraId="5D96CA19" w14:textId="58162E26" w:rsidR="00CE3A46" w:rsidRPr="00CE3A46" w:rsidRDefault="00CE3A46" w:rsidP="00CE3A46">
            <w:pPr>
              <w:spacing w:after="0"/>
              <w:jc w:val="center"/>
              <w:rPr>
                <w:color w:val="auto"/>
              </w:rPr>
            </w:pPr>
            <w:r w:rsidRPr="00CE3A46">
              <w:rPr>
                <w:color w:val="auto"/>
              </w:rPr>
              <w:t>4.8</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7CD3F8BF" w14:textId="0DB5FF2D" w:rsidR="00CE3A46" w:rsidRPr="00CE3A46" w:rsidRDefault="00CE3A46" w:rsidP="00CE3A46">
            <w:pPr>
              <w:spacing w:after="0"/>
              <w:jc w:val="center"/>
              <w:rPr>
                <w:color w:val="auto"/>
              </w:rPr>
            </w:pPr>
            <w:r w:rsidRPr="00CE3A46">
              <w:rPr>
                <w:color w:val="auto"/>
              </w:rPr>
              <w:t>3.7</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6AFAA528" w14:textId="37024AA0" w:rsidR="00CE3A46" w:rsidRPr="00CE3A46" w:rsidRDefault="00CE3A46" w:rsidP="00CE3A46">
            <w:pPr>
              <w:spacing w:after="0"/>
              <w:jc w:val="center"/>
              <w:rPr>
                <w:color w:val="auto"/>
              </w:rPr>
            </w:pPr>
            <w:r w:rsidRPr="00CE3A46">
              <w:rPr>
                <w:color w:val="auto"/>
              </w:rPr>
              <w:t>3.9</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2C9ECD6B" w14:textId="05EDFAEF" w:rsidR="00CE3A46" w:rsidRPr="00CE3A46" w:rsidRDefault="00CE3A46" w:rsidP="00CE3A46">
            <w:pPr>
              <w:spacing w:after="0"/>
              <w:jc w:val="center"/>
              <w:rPr>
                <w:color w:val="auto"/>
              </w:rPr>
            </w:pPr>
            <w:r w:rsidRPr="00CE3A46">
              <w:rPr>
                <w:color w:val="auto"/>
              </w:rPr>
              <w:t>3.9</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633B4C46" w14:textId="0D4BAA34" w:rsidR="00CE3A46" w:rsidRPr="00CE3A46" w:rsidRDefault="00CE3A46" w:rsidP="00CE3A46">
            <w:pPr>
              <w:spacing w:after="0"/>
              <w:jc w:val="center"/>
              <w:rPr>
                <w:color w:val="auto"/>
              </w:rPr>
            </w:pPr>
            <w:r w:rsidRPr="00CE3A46">
              <w:rPr>
                <w:color w:val="auto"/>
              </w:rPr>
              <w:t>3.9</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74EA016D" w14:textId="1DA9F927"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5045B74C" w14:textId="4200F244" w:rsidR="00CE3A46" w:rsidRPr="00CE3A46" w:rsidRDefault="00CE3A46" w:rsidP="00CE3A46">
            <w:pPr>
              <w:spacing w:after="0"/>
              <w:jc w:val="center"/>
              <w:rPr>
                <w:color w:val="auto"/>
              </w:rPr>
            </w:pPr>
            <w:r w:rsidRPr="00CE3A46">
              <w:rPr>
                <w:color w:val="auto"/>
              </w:rPr>
              <w:t>4.0</w:t>
            </w:r>
          </w:p>
        </w:tc>
        <w:tc>
          <w:tcPr>
            <w:tcW w:w="239" w:type="dxa"/>
            <w:shd w:val="clear" w:color="auto" w:fill="auto"/>
            <w:vAlign w:val="center"/>
            <w:hideMark/>
          </w:tcPr>
          <w:p w14:paraId="1D95AC76"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00DE7957"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A5A17AA" w14:textId="66EEC0D2" w:rsidR="00CE3A46" w:rsidRPr="00D076AD" w:rsidRDefault="00CE3A46" w:rsidP="00CE3A46">
            <w:pPr>
              <w:spacing w:after="0"/>
              <w:rPr>
                <w:rFonts w:eastAsia="Times New Roman"/>
                <w:color w:val="auto"/>
                <w:lang w:eastAsia="en-AU"/>
              </w:rPr>
            </w:pPr>
            <w:r w:rsidRPr="00D076AD">
              <w:rPr>
                <w:color w:val="auto"/>
              </w:rPr>
              <w:t>Pakistan</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260197BA" w14:textId="754E876C" w:rsidR="00CE3A46" w:rsidRPr="00D076AD" w:rsidRDefault="00CE3A46" w:rsidP="00CE3A46">
            <w:pPr>
              <w:spacing w:after="0"/>
              <w:rPr>
                <w:color w:val="auto"/>
              </w:rPr>
            </w:pPr>
            <w:r w:rsidRPr="00D076AD">
              <w:rPr>
                <w:color w:val="auto"/>
              </w:rPr>
              <w:t>Extremely high</w:t>
            </w:r>
          </w:p>
        </w:tc>
        <w:tc>
          <w:tcPr>
            <w:tcW w:w="709" w:type="dxa"/>
            <w:tcBorders>
              <w:top w:val="nil"/>
              <w:left w:val="nil"/>
              <w:bottom w:val="single" w:sz="4" w:space="0" w:color="333333"/>
              <w:right w:val="single" w:sz="4" w:space="0" w:color="333333"/>
            </w:tcBorders>
            <w:shd w:val="clear" w:color="auto" w:fill="auto"/>
            <w:noWrap/>
            <w:vAlign w:val="center"/>
          </w:tcPr>
          <w:p w14:paraId="05AC5A71" w14:textId="170A6C2E" w:rsidR="00CE3A46" w:rsidRPr="00D076AD" w:rsidRDefault="00CE3A46" w:rsidP="00CE3A46">
            <w:pPr>
              <w:spacing w:after="0"/>
              <w:rPr>
                <w:rFonts w:eastAsia="Times New Roman"/>
                <w:color w:val="auto"/>
                <w:lang w:eastAsia="en-AU"/>
              </w:rPr>
            </w:pPr>
            <w:r w:rsidRPr="00D076AD">
              <w:rPr>
                <w:color w:val="auto"/>
              </w:rPr>
              <w:t>18.0</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401662EA" w14:textId="366AEA16" w:rsidR="00CE3A46" w:rsidRPr="00D076AD" w:rsidRDefault="00CE3A46" w:rsidP="00CE3A46">
            <w:pPr>
              <w:spacing w:after="0"/>
              <w:jc w:val="center"/>
              <w:rPr>
                <w:rFonts w:eastAsia="Times New Roman"/>
                <w:color w:val="auto"/>
                <w:lang w:eastAsia="en-AU"/>
              </w:rPr>
            </w:pPr>
            <w:r w:rsidRPr="00D076AD">
              <w:rPr>
                <w:color w:val="auto"/>
              </w:rPr>
              <w:t>4.3</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35DD77E3" w14:textId="111FABE1" w:rsidR="00CE3A46" w:rsidRPr="00D076AD" w:rsidRDefault="00CE3A46" w:rsidP="00CE3A46">
            <w:pPr>
              <w:spacing w:after="0"/>
              <w:jc w:val="center"/>
              <w:rPr>
                <w:rFonts w:eastAsia="Times New Roman"/>
                <w:color w:val="auto"/>
                <w:lang w:eastAsia="en-AU"/>
              </w:rPr>
            </w:pPr>
            <w:r w:rsidRPr="00D076AD">
              <w:rPr>
                <w:color w:val="auto"/>
              </w:rPr>
              <w:t>4.2</w:t>
            </w:r>
          </w:p>
        </w:tc>
        <w:tc>
          <w:tcPr>
            <w:tcW w:w="992" w:type="dxa"/>
            <w:tcBorders>
              <w:top w:val="single" w:sz="4" w:space="0" w:color="333333"/>
              <w:left w:val="nil"/>
              <w:bottom w:val="single" w:sz="4" w:space="0" w:color="333333"/>
              <w:right w:val="single" w:sz="4" w:space="0" w:color="333333"/>
            </w:tcBorders>
            <w:shd w:val="clear" w:color="auto" w:fill="auto"/>
            <w:noWrap/>
          </w:tcPr>
          <w:p w14:paraId="0127812C" w14:textId="71028E90" w:rsidR="00CE3A46" w:rsidRPr="00CE3A46" w:rsidRDefault="00CE3A46" w:rsidP="00CE3A46">
            <w:pPr>
              <w:spacing w:after="0"/>
              <w:jc w:val="center"/>
              <w:rPr>
                <w:color w:val="auto"/>
              </w:rPr>
            </w:pPr>
            <w:r w:rsidRPr="00CE3A46">
              <w:rPr>
                <w:color w:val="auto"/>
              </w:rPr>
              <w:t>4.4</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639328C2" w14:textId="266EF37F" w:rsidR="00CE3A46" w:rsidRPr="00CE3A46" w:rsidRDefault="00CE3A46" w:rsidP="00CE3A46">
            <w:pPr>
              <w:spacing w:after="0"/>
              <w:jc w:val="center"/>
              <w:rPr>
                <w:color w:val="auto"/>
              </w:rPr>
            </w:pPr>
            <w:r w:rsidRPr="00CE3A46">
              <w:rPr>
                <w:color w:val="auto"/>
              </w:rPr>
              <w:t>4.2</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1F8F8806" w14:textId="1451F4C3" w:rsidR="00CE3A46" w:rsidRPr="00CE3A46" w:rsidRDefault="00CE3A46" w:rsidP="00CE3A46">
            <w:pPr>
              <w:spacing w:after="0"/>
              <w:jc w:val="center"/>
              <w:rPr>
                <w:color w:val="auto"/>
              </w:rPr>
            </w:pPr>
            <w:r w:rsidRPr="00CE3A46">
              <w:rPr>
                <w:color w:val="auto"/>
              </w:rPr>
              <w:t>3.7</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6062228C" w14:textId="36E901CB" w:rsidR="00CE3A46" w:rsidRPr="00CE3A46" w:rsidRDefault="00CE3A46" w:rsidP="00CE3A46">
            <w:pPr>
              <w:spacing w:after="0"/>
              <w:jc w:val="center"/>
              <w:rPr>
                <w:color w:val="auto"/>
              </w:rPr>
            </w:pPr>
            <w:r w:rsidRPr="00CE3A46">
              <w:rPr>
                <w:color w:val="auto"/>
              </w:rPr>
              <w:t>4.3</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2FD442EE" w14:textId="45D6DC8A" w:rsidR="00CE3A46" w:rsidRPr="00CE3A46" w:rsidRDefault="00CE3A46" w:rsidP="00CE3A46">
            <w:pPr>
              <w:spacing w:after="0"/>
              <w:jc w:val="center"/>
              <w:rPr>
                <w:color w:val="auto"/>
              </w:rPr>
            </w:pPr>
            <w:r w:rsidRPr="00CE3A46">
              <w:rPr>
                <w:color w:val="auto"/>
              </w:rPr>
              <w:t>4.1</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7D1877C7" w14:textId="08136574"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2EB80CE6" w14:textId="72EF6B0E" w:rsidR="00CE3A46" w:rsidRPr="00CE3A46" w:rsidRDefault="00CE3A46" w:rsidP="00CE3A46">
            <w:pPr>
              <w:spacing w:after="0"/>
              <w:jc w:val="center"/>
              <w:rPr>
                <w:color w:val="auto"/>
              </w:rPr>
            </w:pPr>
            <w:r w:rsidRPr="00CE3A46">
              <w:rPr>
                <w:color w:val="auto"/>
              </w:rPr>
              <w:t>3.3</w:t>
            </w:r>
          </w:p>
        </w:tc>
        <w:tc>
          <w:tcPr>
            <w:tcW w:w="239" w:type="dxa"/>
            <w:shd w:val="clear" w:color="auto" w:fill="auto"/>
            <w:vAlign w:val="center"/>
            <w:hideMark/>
          </w:tcPr>
          <w:p w14:paraId="65D393EB"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58F9F034"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71E19F59" w14:textId="683817DC" w:rsidR="00CE3A46" w:rsidRPr="00D076AD" w:rsidRDefault="00CE3A46" w:rsidP="00CE3A46">
            <w:pPr>
              <w:spacing w:after="0"/>
              <w:rPr>
                <w:rFonts w:eastAsia="Times New Roman"/>
                <w:color w:val="auto"/>
                <w:lang w:eastAsia="en-AU"/>
              </w:rPr>
            </w:pPr>
            <w:r w:rsidRPr="00D076AD">
              <w:rPr>
                <w:color w:val="auto"/>
              </w:rPr>
              <w:t>Cambodia</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30508ACE" w14:textId="75AE43AF" w:rsidR="00CE3A46" w:rsidRPr="00D076AD" w:rsidRDefault="00CE3A46" w:rsidP="00CE3A46">
            <w:pPr>
              <w:spacing w:after="0"/>
              <w:rPr>
                <w:color w:val="auto"/>
              </w:rPr>
            </w:pPr>
            <w:r w:rsidRPr="00D076AD">
              <w:rPr>
                <w:color w:val="auto"/>
              </w:rPr>
              <w:t>Extremely high</w:t>
            </w:r>
          </w:p>
        </w:tc>
        <w:tc>
          <w:tcPr>
            <w:tcW w:w="709" w:type="dxa"/>
            <w:tcBorders>
              <w:top w:val="nil"/>
              <w:left w:val="nil"/>
              <w:bottom w:val="single" w:sz="4" w:space="0" w:color="333333"/>
              <w:right w:val="single" w:sz="4" w:space="0" w:color="333333"/>
            </w:tcBorders>
            <w:shd w:val="clear" w:color="auto" w:fill="auto"/>
            <w:noWrap/>
            <w:vAlign w:val="center"/>
          </w:tcPr>
          <w:p w14:paraId="6F39777A" w14:textId="519ABD1C" w:rsidR="00CE3A46" w:rsidRPr="00D076AD" w:rsidRDefault="00CE3A46" w:rsidP="00CE3A46">
            <w:pPr>
              <w:spacing w:after="0"/>
              <w:rPr>
                <w:rFonts w:eastAsia="Times New Roman"/>
                <w:color w:val="auto"/>
                <w:lang w:eastAsia="en-AU"/>
              </w:rPr>
            </w:pPr>
            <w:r w:rsidRPr="00D076AD">
              <w:rPr>
                <w:color w:val="auto"/>
              </w:rPr>
              <w:t>17.9</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0AA965B4" w14:textId="4D610AFE" w:rsidR="00CE3A46" w:rsidRPr="00D076AD" w:rsidRDefault="00CE3A46" w:rsidP="00CE3A46">
            <w:pPr>
              <w:spacing w:after="0"/>
              <w:jc w:val="center"/>
              <w:rPr>
                <w:rFonts w:eastAsia="Times New Roman"/>
                <w:color w:val="auto"/>
                <w:lang w:eastAsia="en-AU"/>
              </w:rPr>
            </w:pPr>
            <w:r w:rsidRPr="00D076AD">
              <w:rPr>
                <w:color w:val="auto"/>
              </w:rPr>
              <w:t>4.1</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1FAF70E7" w14:textId="6571F6A1" w:rsidR="00CE3A46" w:rsidRPr="00D076AD" w:rsidRDefault="00CE3A46" w:rsidP="00CE3A46">
            <w:pPr>
              <w:spacing w:after="0"/>
              <w:jc w:val="center"/>
              <w:rPr>
                <w:rFonts w:eastAsia="Times New Roman"/>
                <w:color w:val="auto"/>
                <w:lang w:eastAsia="en-AU"/>
              </w:rPr>
            </w:pPr>
            <w:r w:rsidRPr="00D076AD">
              <w:rPr>
                <w:color w:val="auto"/>
              </w:rPr>
              <w:t>4.4</w:t>
            </w:r>
          </w:p>
        </w:tc>
        <w:tc>
          <w:tcPr>
            <w:tcW w:w="992" w:type="dxa"/>
            <w:tcBorders>
              <w:top w:val="single" w:sz="4" w:space="0" w:color="333333"/>
              <w:left w:val="nil"/>
              <w:bottom w:val="single" w:sz="4" w:space="0" w:color="333333"/>
              <w:right w:val="single" w:sz="4" w:space="0" w:color="333333"/>
            </w:tcBorders>
            <w:shd w:val="clear" w:color="auto" w:fill="auto"/>
            <w:noWrap/>
          </w:tcPr>
          <w:p w14:paraId="77513667" w14:textId="00C2D1F7" w:rsidR="00CE3A46" w:rsidRPr="00CE3A46" w:rsidRDefault="00CE3A46" w:rsidP="00CE3A46">
            <w:pPr>
              <w:spacing w:after="0"/>
              <w:jc w:val="center"/>
              <w:rPr>
                <w:color w:val="auto"/>
              </w:rPr>
            </w:pPr>
            <w:r w:rsidRPr="00CE3A46">
              <w:rPr>
                <w:color w:val="auto"/>
              </w:rPr>
              <w:t>4.4</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01A11471" w14:textId="371053C4" w:rsidR="00CE3A46" w:rsidRPr="00CE3A46" w:rsidRDefault="00CE3A46" w:rsidP="00CE3A46">
            <w:pPr>
              <w:spacing w:after="0"/>
              <w:jc w:val="center"/>
              <w:rPr>
                <w:color w:val="auto"/>
              </w:rPr>
            </w:pPr>
            <w:r w:rsidRPr="00CE3A46">
              <w:rPr>
                <w:color w:val="auto"/>
              </w:rPr>
              <w:t>3.8</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1B99F2D1" w14:textId="7557C7A1" w:rsidR="00CE3A46" w:rsidRPr="00CE3A46" w:rsidRDefault="00CE3A46" w:rsidP="00CE3A46">
            <w:pPr>
              <w:spacing w:after="0"/>
              <w:jc w:val="center"/>
              <w:rPr>
                <w:color w:val="auto"/>
              </w:rPr>
            </w:pPr>
            <w:r w:rsidRPr="00CE3A46">
              <w:rPr>
                <w:color w:val="auto"/>
              </w:rPr>
              <w:t>3.7</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7C050581" w14:textId="61518D08" w:rsidR="00CE3A46" w:rsidRPr="00CE3A46" w:rsidRDefault="00CE3A46" w:rsidP="00CE3A46">
            <w:pPr>
              <w:spacing w:after="0"/>
              <w:jc w:val="center"/>
              <w:rPr>
                <w:color w:val="auto"/>
              </w:rPr>
            </w:pPr>
            <w:r w:rsidRPr="00CE3A46">
              <w:rPr>
                <w:color w:val="auto"/>
              </w:rPr>
              <w:t>3.7</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67B11970" w14:textId="58A7C57A" w:rsidR="00CE3A46" w:rsidRPr="00CE3A46" w:rsidRDefault="00CE3A46" w:rsidP="00CE3A46">
            <w:pPr>
              <w:spacing w:after="0"/>
              <w:jc w:val="center"/>
              <w:rPr>
                <w:color w:val="auto"/>
              </w:rPr>
            </w:pPr>
            <w:r w:rsidRPr="00CE3A46">
              <w:rPr>
                <w:color w:val="auto"/>
              </w:rPr>
              <w:t>4.6</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1029D1C1" w14:textId="09060D25"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2F609A74" w14:textId="685A8D26" w:rsidR="00CE3A46" w:rsidRPr="00CE3A46" w:rsidRDefault="00CE3A46" w:rsidP="00CE3A46">
            <w:pPr>
              <w:spacing w:after="0"/>
              <w:jc w:val="center"/>
              <w:rPr>
                <w:color w:val="auto"/>
              </w:rPr>
            </w:pPr>
            <w:r w:rsidRPr="00CE3A46">
              <w:rPr>
                <w:color w:val="auto"/>
              </w:rPr>
              <w:t>4.4</w:t>
            </w:r>
          </w:p>
        </w:tc>
        <w:tc>
          <w:tcPr>
            <w:tcW w:w="239" w:type="dxa"/>
            <w:shd w:val="clear" w:color="auto" w:fill="auto"/>
            <w:vAlign w:val="center"/>
            <w:hideMark/>
          </w:tcPr>
          <w:p w14:paraId="2812169B"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5FBDC894"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780E811" w14:textId="2F9A7257" w:rsidR="00CE3A46" w:rsidRPr="00D076AD" w:rsidRDefault="00CE3A46" w:rsidP="00CE3A46">
            <w:pPr>
              <w:spacing w:after="0"/>
              <w:rPr>
                <w:rFonts w:eastAsia="Times New Roman"/>
                <w:color w:val="auto"/>
                <w:lang w:eastAsia="en-AU"/>
              </w:rPr>
            </w:pPr>
            <w:r w:rsidRPr="00D076AD">
              <w:rPr>
                <w:color w:val="auto"/>
              </w:rPr>
              <w:t>Myanmar</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5233638F" w14:textId="1DAA698E" w:rsidR="00CE3A46" w:rsidRPr="00D076AD" w:rsidRDefault="00CE3A46" w:rsidP="00CE3A46">
            <w:pPr>
              <w:spacing w:after="0"/>
              <w:rPr>
                <w:color w:val="auto"/>
              </w:rPr>
            </w:pPr>
            <w:r w:rsidRPr="00D076AD">
              <w:rPr>
                <w:color w:val="auto"/>
              </w:rPr>
              <w:t>Extremely high</w:t>
            </w:r>
          </w:p>
        </w:tc>
        <w:tc>
          <w:tcPr>
            <w:tcW w:w="709" w:type="dxa"/>
            <w:tcBorders>
              <w:top w:val="nil"/>
              <w:left w:val="nil"/>
              <w:bottom w:val="single" w:sz="4" w:space="0" w:color="333333"/>
              <w:right w:val="single" w:sz="4" w:space="0" w:color="333333"/>
            </w:tcBorders>
            <w:shd w:val="clear" w:color="auto" w:fill="auto"/>
            <w:noWrap/>
            <w:vAlign w:val="center"/>
          </w:tcPr>
          <w:p w14:paraId="0EED4FA5" w14:textId="7781435D" w:rsidR="00CE3A46" w:rsidRPr="00D076AD" w:rsidRDefault="00CE3A46" w:rsidP="00CE3A46">
            <w:pPr>
              <w:spacing w:after="0"/>
              <w:rPr>
                <w:rFonts w:eastAsia="Times New Roman"/>
                <w:color w:val="auto"/>
                <w:lang w:eastAsia="en-AU"/>
              </w:rPr>
            </w:pPr>
            <w:r w:rsidRPr="00D076AD">
              <w:rPr>
                <w:color w:val="auto"/>
              </w:rPr>
              <w:t>16.7</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41152570" w14:textId="31AC9DA1" w:rsidR="00CE3A46" w:rsidRPr="00D076AD" w:rsidRDefault="00CE3A46" w:rsidP="00CE3A46">
            <w:pPr>
              <w:spacing w:after="0"/>
              <w:jc w:val="center"/>
              <w:rPr>
                <w:rFonts w:eastAsia="Times New Roman"/>
                <w:color w:val="auto"/>
                <w:lang w:eastAsia="en-AU"/>
              </w:rPr>
            </w:pPr>
            <w:r w:rsidRPr="00D076AD">
              <w:rPr>
                <w:color w:val="auto"/>
              </w:rPr>
              <w:t>3.7</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634A11E0" w14:textId="0600B71E" w:rsidR="00CE3A46" w:rsidRPr="00D076AD" w:rsidRDefault="00CE3A46" w:rsidP="00CE3A46">
            <w:pPr>
              <w:spacing w:after="0"/>
              <w:jc w:val="center"/>
              <w:rPr>
                <w:rFonts w:eastAsia="Times New Roman"/>
                <w:color w:val="auto"/>
                <w:lang w:eastAsia="en-AU"/>
              </w:rPr>
            </w:pPr>
            <w:r w:rsidRPr="00D076AD">
              <w:rPr>
                <w:color w:val="auto"/>
              </w:rPr>
              <w:t>4.5</w:t>
            </w:r>
          </w:p>
        </w:tc>
        <w:tc>
          <w:tcPr>
            <w:tcW w:w="992" w:type="dxa"/>
            <w:tcBorders>
              <w:top w:val="single" w:sz="4" w:space="0" w:color="333333"/>
              <w:left w:val="nil"/>
              <w:bottom w:val="single" w:sz="4" w:space="0" w:color="333333"/>
              <w:right w:val="single" w:sz="4" w:space="0" w:color="333333"/>
            </w:tcBorders>
            <w:shd w:val="clear" w:color="auto" w:fill="auto"/>
            <w:noWrap/>
          </w:tcPr>
          <w:p w14:paraId="36147347" w14:textId="33501F15" w:rsidR="00CE3A46" w:rsidRPr="00CE3A46" w:rsidRDefault="00CE3A46" w:rsidP="00CE3A46">
            <w:pPr>
              <w:spacing w:after="0"/>
              <w:jc w:val="center"/>
              <w:rPr>
                <w:color w:val="auto"/>
              </w:rPr>
            </w:pPr>
            <w:r w:rsidRPr="00CE3A46">
              <w:rPr>
                <w:color w:val="auto"/>
              </w:rPr>
              <w:t>4.2</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499730C7" w14:textId="5E0D2FDF" w:rsidR="00CE3A46" w:rsidRPr="00CE3A46" w:rsidRDefault="00CE3A46" w:rsidP="00CE3A46">
            <w:pPr>
              <w:spacing w:after="0"/>
              <w:jc w:val="center"/>
              <w:rPr>
                <w:color w:val="auto"/>
              </w:rPr>
            </w:pPr>
            <w:r w:rsidRPr="00CE3A46">
              <w:rPr>
                <w:color w:val="auto"/>
              </w:rPr>
              <w:t>3.3</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48370ECB" w14:textId="0242E848" w:rsidR="00CE3A46" w:rsidRPr="00CE3A46" w:rsidRDefault="00CE3A46" w:rsidP="00CE3A46">
            <w:pPr>
              <w:spacing w:after="0"/>
              <w:jc w:val="center"/>
              <w:rPr>
                <w:color w:val="auto"/>
              </w:rPr>
            </w:pPr>
            <w:r w:rsidRPr="00CE3A46">
              <w:rPr>
                <w:color w:val="auto"/>
              </w:rPr>
              <w:t>3.8</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033F6D0C" w14:textId="2FEC8D7B" w:rsidR="00CE3A46" w:rsidRPr="00CE3A46" w:rsidRDefault="00CE3A46" w:rsidP="00CE3A46">
            <w:pPr>
              <w:spacing w:after="0"/>
              <w:jc w:val="center"/>
              <w:rPr>
                <w:color w:val="auto"/>
              </w:rPr>
            </w:pPr>
            <w:r w:rsidRPr="00CE3A46">
              <w:rPr>
                <w:color w:val="auto"/>
              </w:rPr>
              <w:t>4.4</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33471D08" w14:textId="0EDA07B2" w:rsidR="00CE3A46" w:rsidRPr="00CE3A46" w:rsidRDefault="00CE3A46" w:rsidP="00CE3A46">
            <w:pPr>
              <w:spacing w:after="0"/>
              <w:jc w:val="center"/>
              <w:rPr>
                <w:color w:val="auto"/>
              </w:rPr>
            </w:pPr>
            <w:r w:rsidRPr="00CE3A46">
              <w:rPr>
                <w:color w:val="auto"/>
              </w:rPr>
              <w:t>2.9</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4A31942C" w14:textId="2AFA6A3E"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6B0E4BC6" w14:textId="6D12D559" w:rsidR="00CE3A46" w:rsidRPr="00CE3A46" w:rsidRDefault="00CE3A46" w:rsidP="00CE3A46">
            <w:pPr>
              <w:spacing w:after="0"/>
              <w:jc w:val="center"/>
              <w:rPr>
                <w:color w:val="auto"/>
              </w:rPr>
            </w:pPr>
            <w:r w:rsidRPr="00CE3A46">
              <w:rPr>
                <w:color w:val="auto"/>
              </w:rPr>
              <w:t>4.0</w:t>
            </w:r>
          </w:p>
        </w:tc>
        <w:tc>
          <w:tcPr>
            <w:tcW w:w="239" w:type="dxa"/>
            <w:shd w:val="clear" w:color="auto" w:fill="auto"/>
            <w:vAlign w:val="center"/>
            <w:hideMark/>
          </w:tcPr>
          <w:p w14:paraId="1E7DEB6F"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4CFA72F8"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EC4CC01" w14:textId="3B38530A" w:rsidR="00CE3A46" w:rsidRPr="00D076AD" w:rsidRDefault="00CE3A46" w:rsidP="00CE3A46">
            <w:pPr>
              <w:spacing w:after="0"/>
              <w:rPr>
                <w:rFonts w:eastAsia="Times New Roman"/>
                <w:color w:val="auto"/>
                <w:lang w:eastAsia="en-AU"/>
              </w:rPr>
            </w:pPr>
            <w:r w:rsidRPr="00D076AD">
              <w:rPr>
                <w:color w:val="auto"/>
              </w:rPr>
              <w:lastRenderedPageBreak/>
              <w:t>Timor-Leste</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64AB4C2D" w14:textId="0B0F9AB0" w:rsidR="00CE3A46" w:rsidRPr="00D076AD" w:rsidRDefault="00CE3A46" w:rsidP="00CE3A46">
            <w:pPr>
              <w:spacing w:after="0"/>
              <w:rPr>
                <w:color w:val="auto"/>
              </w:rPr>
            </w:pPr>
            <w:r w:rsidRPr="00D076AD">
              <w:rPr>
                <w:color w:val="auto"/>
              </w:rPr>
              <w:t>Extremely high</w:t>
            </w:r>
          </w:p>
        </w:tc>
        <w:tc>
          <w:tcPr>
            <w:tcW w:w="709" w:type="dxa"/>
            <w:tcBorders>
              <w:top w:val="nil"/>
              <w:left w:val="nil"/>
              <w:bottom w:val="single" w:sz="4" w:space="0" w:color="333333"/>
              <w:right w:val="single" w:sz="4" w:space="0" w:color="333333"/>
            </w:tcBorders>
            <w:shd w:val="clear" w:color="auto" w:fill="auto"/>
            <w:noWrap/>
            <w:vAlign w:val="center"/>
          </w:tcPr>
          <w:p w14:paraId="2BF17E7A" w14:textId="5DBC7491" w:rsidR="00CE3A46" w:rsidRPr="00D076AD" w:rsidRDefault="00CE3A46" w:rsidP="00CE3A46">
            <w:pPr>
              <w:spacing w:after="0"/>
              <w:rPr>
                <w:rFonts w:eastAsia="Times New Roman"/>
                <w:color w:val="auto"/>
                <w:lang w:eastAsia="en-AU"/>
              </w:rPr>
            </w:pPr>
            <w:r w:rsidRPr="00D076AD">
              <w:rPr>
                <w:color w:val="auto"/>
              </w:rPr>
              <w:t>16.7</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6A8DE22A" w14:textId="63B5BE69" w:rsidR="00CE3A46" w:rsidRPr="00D076AD" w:rsidRDefault="00CE3A46" w:rsidP="00CE3A46">
            <w:pPr>
              <w:spacing w:after="0"/>
              <w:jc w:val="center"/>
              <w:rPr>
                <w:rFonts w:eastAsia="Times New Roman"/>
                <w:color w:val="auto"/>
                <w:lang w:eastAsia="en-AU"/>
              </w:rPr>
            </w:pPr>
            <w:r w:rsidRPr="00D076AD">
              <w:rPr>
                <w:color w:val="auto"/>
              </w:rPr>
              <w:t>4.5</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602A48E9" w14:textId="6E400679" w:rsidR="00CE3A46" w:rsidRPr="00D076AD" w:rsidRDefault="00CE3A46" w:rsidP="00CE3A46">
            <w:pPr>
              <w:spacing w:after="0"/>
              <w:jc w:val="center"/>
              <w:rPr>
                <w:rFonts w:eastAsia="Times New Roman"/>
                <w:color w:val="auto"/>
                <w:lang w:eastAsia="en-AU"/>
              </w:rPr>
            </w:pPr>
            <w:r w:rsidRPr="00D076AD">
              <w:rPr>
                <w:color w:val="auto"/>
              </w:rPr>
              <w:t>3.7</w:t>
            </w:r>
          </w:p>
        </w:tc>
        <w:tc>
          <w:tcPr>
            <w:tcW w:w="992" w:type="dxa"/>
            <w:tcBorders>
              <w:top w:val="single" w:sz="4" w:space="0" w:color="333333"/>
              <w:left w:val="nil"/>
              <w:bottom w:val="single" w:sz="4" w:space="0" w:color="333333"/>
              <w:right w:val="single" w:sz="4" w:space="0" w:color="333333"/>
            </w:tcBorders>
            <w:shd w:val="clear" w:color="auto" w:fill="auto"/>
            <w:noWrap/>
          </w:tcPr>
          <w:p w14:paraId="0644BC2F" w14:textId="4F6A5801" w:rsidR="00CE3A46" w:rsidRPr="00CE3A46" w:rsidRDefault="00CE3A46" w:rsidP="00CE3A46">
            <w:pPr>
              <w:spacing w:after="0"/>
              <w:jc w:val="center"/>
              <w:rPr>
                <w:color w:val="auto"/>
              </w:rPr>
            </w:pPr>
            <w:r w:rsidRPr="00CE3A46">
              <w:rPr>
                <w:color w:val="auto"/>
              </w:rPr>
              <w:t>4.5</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15F409A7" w14:textId="654FB183" w:rsidR="00CE3A46" w:rsidRPr="00CE3A46" w:rsidRDefault="00CE3A46" w:rsidP="00CE3A46">
            <w:pPr>
              <w:spacing w:after="0"/>
              <w:jc w:val="center"/>
              <w:rPr>
                <w:color w:val="auto"/>
              </w:rPr>
            </w:pPr>
            <w:r w:rsidRPr="00CE3A46">
              <w:rPr>
                <w:color w:val="auto"/>
              </w:rPr>
              <w:t>4.5</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4E231672" w14:textId="3D759B91" w:rsidR="00CE3A46" w:rsidRPr="00CE3A46" w:rsidRDefault="00CE3A46" w:rsidP="00CE3A46">
            <w:pPr>
              <w:spacing w:after="0"/>
              <w:jc w:val="center"/>
              <w:rPr>
                <w:color w:val="auto"/>
              </w:rPr>
            </w:pPr>
            <w:r w:rsidRPr="00CE3A46">
              <w:rPr>
                <w:color w:val="auto"/>
              </w:rPr>
              <w:t>4.5</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3320F7E5" w14:textId="5106C0CA" w:rsidR="00CE3A46" w:rsidRPr="00CE3A46" w:rsidRDefault="00CE3A46" w:rsidP="00CE3A46">
            <w:pPr>
              <w:spacing w:after="0"/>
              <w:jc w:val="center"/>
              <w:rPr>
                <w:color w:val="auto"/>
              </w:rPr>
            </w:pPr>
            <w:r w:rsidRPr="00CE3A46">
              <w:rPr>
                <w:color w:val="auto"/>
              </w:rPr>
              <w:t>2.3</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12D2D5ED" w14:textId="3CCAA3D5" w:rsidR="00CE3A46" w:rsidRPr="00CE3A46" w:rsidRDefault="00CE3A46" w:rsidP="00CE3A46">
            <w:pPr>
              <w:spacing w:after="0"/>
              <w:jc w:val="center"/>
              <w:rPr>
                <w:color w:val="auto"/>
              </w:rPr>
            </w:pPr>
            <w:r w:rsidRPr="00CE3A46">
              <w:rPr>
                <w:color w:val="auto"/>
              </w:rPr>
              <w:t>3.0</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3D658E62" w14:textId="12A5DAE8"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7C1422A9" w14:textId="43B223D9" w:rsidR="00CE3A46" w:rsidRPr="00CE3A46" w:rsidRDefault="00CE3A46" w:rsidP="00CE3A46">
            <w:pPr>
              <w:spacing w:after="0"/>
              <w:jc w:val="center"/>
              <w:rPr>
                <w:color w:val="auto"/>
              </w:rPr>
            </w:pPr>
            <w:r w:rsidRPr="00CE3A46">
              <w:rPr>
                <w:color w:val="auto"/>
              </w:rPr>
              <w:t>3.8</w:t>
            </w:r>
          </w:p>
        </w:tc>
        <w:tc>
          <w:tcPr>
            <w:tcW w:w="239" w:type="dxa"/>
            <w:shd w:val="clear" w:color="auto" w:fill="auto"/>
            <w:vAlign w:val="center"/>
            <w:hideMark/>
          </w:tcPr>
          <w:p w14:paraId="2B829E2A"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23B76795"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B5C374B" w14:textId="13D75EF1" w:rsidR="00CE3A46" w:rsidRPr="00D076AD" w:rsidRDefault="00CE3A46" w:rsidP="00CE3A46">
            <w:pPr>
              <w:spacing w:after="0"/>
              <w:rPr>
                <w:color w:val="auto"/>
              </w:rPr>
            </w:pPr>
            <w:r w:rsidRPr="00D076AD">
              <w:rPr>
                <w:color w:val="auto"/>
              </w:rPr>
              <w:t>Papua New Guinea</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2BC217B5" w14:textId="75482BFB" w:rsidR="00CE3A46" w:rsidRPr="00D076AD" w:rsidRDefault="00CE3A46" w:rsidP="00CE3A46">
            <w:pPr>
              <w:spacing w:after="0"/>
              <w:rPr>
                <w:color w:val="auto"/>
              </w:rPr>
            </w:pPr>
            <w:r w:rsidRPr="00D076AD">
              <w:rPr>
                <w:color w:val="auto"/>
              </w:rPr>
              <w:t>Extremely high</w:t>
            </w:r>
          </w:p>
        </w:tc>
        <w:tc>
          <w:tcPr>
            <w:tcW w:w="709" w:type="dxa"/>
            <w:tcBorders>
              <w:top w:val="nil"/>
              <w:left w:val="nil"/>
              <w:bottom w:val="single" w:sz="4" w:space="0" w:color="333333"/>
              <w:right w:val="single" w:sz="4" w:space="0" w:color="333333"/>
            </w:tcBorders>
            <w:shd w:val="clear" w:color="auto" w:fill="auto"/>
            <w:noWrap/>
            <w:vAlign w:val="center"/>
          </w:tcPr>
          <w:p w14:paraId="50143DF7" w14:textId="731B695D" w:rsidR="00CE3A46" w:rsidRPr="00D076AD" w:rsidRDefault="00CE3A46" w:rsidP="00CE3A46">
            <w:pPr>
              <w:spacing w:after="0"/>
              <w:rPr>
                <w:color w:val="auto"/>
              </w:rPr>
            </w:pPr>
            <w:r w:rsidRPr="00D076AD">
              <w:rPr>
                <w:color w:val="auto"/>
              </w:rPr>
              <w:t>16.0</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339A03F3" w14:textId="65131B97" w:rsidR="00CE3A46" w:rsidRPr="00D076AD" w:rsidRDefault="00CE3A46" w:rsidP="00CE3A46">
            <w:pPr>
              <w:spacing w:after="0"/>
              <w:jc w:val="center"/>
              <w:rPr>
                <w:color w:val="auto"/>
              </w:rPr>
            </w:pPr>
            <w:r w:rsidRPr="00D076AD">
              <w:rPr>
                <w:color w:val="auto"/>
              </w:rPr>
              <w:t>3.7</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3696453D" w14:textId="593DEA81" w:rsidR="00CE3A46" w:rsidRPr="00D076AD" w:rsidRDefault="00CE3A46" w:rsidP="00CE3A46">
            <w:pPr>
              <w:spacing w:after="0"/>
              <w:jc w:val="center"/>
              <w:rPr>
                <w:color w:val="auto"/>
              </w:rPr>
            </w:pPr>
            <w:r w:rsidRPr="00D076AD">
              <w:rPr>
                <w:color w:val="auto"/>
              </w:rPr>
              <w:t>4.3</w:t>
            </w:r>
          </w:p>
        </w:tc>
        <w:tc>
          <w:tcPr>
            <w:tcW w:w="992" w:type="dxa"/>
            <w:tcBorders>
              <w:top w:val="single" w:sz="4" w:space="0" w:color="333333"/>
              <w:left w:val="nil"/>
              <w:bottom w:val="single" w:sz="4" w:space="0" w:color="333333"/>
              <w:right w:val="single" w:sz="4" w:space="0" w:color="333333"/>
            </w:tcBorders>
            <w:shd w:val="clear" w:color="auto" w:fill="auto"/>
            <w:noWrap/>
          </w:tcPr>
          <w:p w14:paraId="3DEB0555" w14:textId="7BE8D492" w:rsidR="00CE3A46" w:rsidRPr="00D076AD" w:rsidRDefault="00CE3A46" w:rsidP="00CE3A46">
            <w:pPr>
              <w:spacing w:after="0"/>
              <w:jc w:val="center"/>
              <w:rPr>
                <w:color w:val="auto"/>
              </w:rPr>
            </w:pPr>
            <w:r w:rsidRPr="00CE3A46">
              <w:rPr>
                <w:color w:val="auto"/>
              </w:rPr>
              <w:t>2.8</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7C38755A" w14:textId="7D1B9D0B" w:rsidR="00CE3A46" w:rsidRPr="00D076AD" w:rsidRDefault="00CE3A46" w:rsidP="00CE3A46">
            <w:pPr>
              <w:spacing w:after="0"/>
              <w:jc w:val="center"/>
              <w:rPr>
                <w:color w:val="auto"/>
              </w:rPr>
            </w:pPr>
            <w:r w:rsidRPr="00CE3A46">
              <w:rPr>
                <w:color w:val="auto"/>
              </w:rPr>
              <w:t>4.6</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1CFAF7FB" w14:textId="5E3756F6" w:rsidR="00CE3A46" w:rsidRPr="00D076AD" w:rsidRDefault="00CE3A46" w:rsidP="00CE3A46">
            <w:pPr>
              <w:spacing w:after="0"/>
              <w:jc w:val="center"/>
              <w:rPr>
                <w:color w:val="auto"/>
              </w:rPr>
            </w:pPr>
            <w:r w:rsidRPr="00CE3A46">
              <w:rPr>
                <w:color w:val="auto"/>
              </w:rPr>
              <w:t>4.9</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63081C71" w14:textId="6015AC2F" w:rsidR="00CE3A46" w:rsidRPr="00D076AD" w:rsidRDefault="00CE3A46" w:rsidP="00CE3A46">
            <w:pPr>
              <w:spacing w:after="0"/>
              <w:jc w:val="center"/>
              <w:rPr>
                <w:color w:val="auto"/>
              </w:rPr>
            </w:pPr>
            <w:r w:rsidRPr="00CE3A46">
              <w:rPr>
                <w:color w:val="auto"/>
              </w:rPr>
              <w:t>4.1</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49380719" w14:textId="2E387507" w:rsidR="00CE3A46" w:rsidRPr="00D076AD" w:rsidRDefault="00CE3A46" w:rsidP="00CE3A46">
            <w:pPr>
              <w:spacing w:after="0"/>
              <w:jc w:val="center"/>
              <w:rPr>
                <w:color w:val="auto"/>
              </w:rPr>
            </w:pPr>
            <w:r w:rsidRPr="00CE3A46">
              <w:rPr>
                <w:color w:val="auto"/>
              </w:rPr>
              <w:t>3.5</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05752114" w14:textId="436587BF" w:rsidR="00CE3A46" w:rsidRPr="00D076AD"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7982AB51" w14:textId="3ACEC79D" w:rsidR="00CE3A46" w:rsidRPr="00D076AD" w:rsidRDefault="00CE3A46" w:rsidP="00CE3A46">
            <w:pPr>
              <w:spacing w:after="0"/>
              <w:jc w:val="center"/>
              <w:rPr>
                <w:color w:val="auto"/>
              </w:rPr>
            </w:pPr>
            <w:r w:rsidRPr="00CE3A46">
              <w:rPr>
                <w:color w:val="auto"/>
              </w:rPr>
              <w:t>3.9</w:t>
            </w:r>
          </w:p>
        </w:tc>
        <w:tc>
          <w:tcPr>
            <w:tcW w:w="239" w:type="dxa"/>
            <w:shd w:val="clear" w:color="auto" w:fill="auto"/>
            <w:vAlign w:val="center"/>
          </w:tcPr>
          <w:p w14:paraId="24F34554"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3935B1C5"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35E9463A" w14:textId="702F2625" w:rsidR="00CE3A46" w:rsidRPr="00D076AD" w:rsidRDefault="00CE3A46" w:rsidP="00CE3A46">
            <w:pPr>
              <w:spacing w:after="0"/>
              <w:rPr>
                <w:rFonts w:eastAsia="Times New Roman"/>
                <w:color w:val="auto"/>
                <w:lang w:eastAsia="en-AU"/>
              </w:rPr>
            </w:pPr>
            <w:r w:rsidRPr="00D076AD">
              <w:rPr>
                <w:color w:val="auto"/>
              </w:rPr>
              <w:t>Bangladesh</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47D9B538" w14:textId="167D7526" w:rsidR="00CE3A46" w:rsidRPr="00D076AD" w:rsidRDefault="00CE3A46" w:rsidP="00CE3A46">
            <w:pPr>
              <w:spacing w:after="0"/>
              <w:rPr>
                <w:color w:val="auto"/>
              </w:rPr>
            </w:pPr>
            <w:r w:rsidRPr="00D076AD">
              <w:rPr>
                <w:color w:val="auto"/>
              </w:rPr>
              <w:t>Extremely high</w:t>
            </w:r>
          </w:p>
        </w:tc>
        <w:tc>
          <w:tcPr>
            <w:tcW w:w="709" w:type="dxa"/>
            <w:tcBorders>
              <w:top w:val="nil"/>
              <w:left w:val="nil"/>
              <w:bottom w:val="single" w:sz="4" w:space="0" w:color="333333"/>
              <w:right w:val="single" w:sz="4" w:space="0" w:color="333333"/>
            </w:tcBorders>
            <w:shd w:val="clear" w:color="auto" w:fill="auto"/>
            <w:noWrap/>
            <w:vAlign w:val="center"/>
          </w:tcPr>
          <w:p w14:paraId="683055D9" w14:textId="402198C2" w:rsidR="00CE3A46" w:rsidRPr="00D076AD" w:rsidRDefault="00CE3A46" w:rsidP="00CE3A46">
            <w:pPr>
              <w:spacing w:after="0"/>
              <w:rPr>
                <w:rFonts w:eastAsia="Times New Roman"/>
                <w:color w:val="auto"/>
                <w:lang w:eastAsia="en-AU"/>
              </w:rPr>
            </w:pPr>
            <w:r w:rsidRPr="00D076AD">
              <w:rPr>
                <w:color w:val="auto"/>
              </w:rPr>
              <w:t>15.3</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215A47C4" w14:textId="40DA55C6" w:rsidR="00CE3A46" w:rsidRPr="00D076AD" w:rsidRDefault="00CE3A46" w:rsidP="00CE3A46">
            <w:pPr>
              <w:spacing w:after="0"/>
              <w:jc w:val="center"/>
              <w:rPr>
                <w:rFonts w:eastAsia="Times New Roman"/>
                <w:color w:val="auto"/>
                <w:lang w:eastAsia="en-AU"/>
              </w:rPr>
            </w:pPr>
            <w:r w:rsidRPr="00D076AD">
              <w:rPr>
                <w:color w:val="auto"/>
              </w:rPr>
              <w:t>3.8</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1F7FED31" w14:textId="4DBF8550" w:rsidR="00CE3A46" w:rsidRPr="00D076AD" w:rsidRDefault="00CE3A46" w:rsidP="00CE3A46">
            <w:pPr>
              <w:spacing w:after="0"/>
              <w:jc w:val="center"/>
              <w:rPr>
                <w:rFonts w:eastAsia="Times New Roman"/>
                <w:color w:val="auto"/>
                <w:lang w:eastAsia="en-AU"/>
              </w:rPr>
            </w:pPr>
            <w:r w:rsidRPr="00D076AD">
              <w:rPr>
                <w:color w:val="auto"/>
              </w:rPr>
              <w:t>4.0</w:t>
            </w:r>
          </w:p>
        </w:tc>
        <w:tc>
          <w:tcPr>
            <w:tcW w:w="992" w:type="dxa"/>
            <w:tcBorders>
              <w:top w:val="single" w:sz="4" w:space="0" w:color="333333"/>
              <w:left w:val="nil"/>
              <w:bottom w:val="single" w:sz="4" w:space="0" w:color="333333"/>
              <w:right w:val="single" w:sz="4" w:space="0" w:color="333333"/>
            </w:tcBorders>
            <w:shd w:val="clear" w:color="auto" w:fill="auto"/>
            <w:noWrap/>
          </w:tcPr>
          <w:p w14:paraId="6DA4AFDB" w14:textId="2894C875" w:rsidR="00CE3A46" w:rsidRPr="00CE3A46" w:rsidRDefault="00CE3A46" w:rsidP="00CE3A46">
            <w:pPr>
              <w:spacing w:after="0"/>
              <w:jc w:val="center"/>
              <w:rPr>
                <w:color w:val="auto"/>
              </w:rPr>
            </w:pPr>
            <w:r w:rsidRPr="00CE3A46">
              <w:rPr>
                <w:color w:val="auto"/>
              </w:rPr>
              <w:t>3.7</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61FB59F8" w14:textId="638A8AC0" w:rsidR="00CE3A46" w:rsidRPr="00CE3A46" w:rsidRDefault="00CE3A46" w:rsidP="00CE3A46">
            <w:pPr>
              <w:spacing w:after="0"/>
              <w:jc w:val="center"/>
              <w:rPr>
                <w:color w:val="auto"/>
              </w:rPr>
            </w:pPr>
            <w:r w:rsidRPr="00CE3A46">
              <w:rPr>
                <w:color w:val="auto"/>
              </w:rPr>
              <w:t>3.9</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02B77137" w14:textId="11AED40A" w:rsidR="00CE3A46" w:rsidRPr="00CE3A46" w:rsidRDefault="00CE3A46" w:rsidP="00CE3A46">
            <w:pPr>
              <w:spacing w:after="0"/>
              <w:jc w:val="center"/>
              <w:rPr>
                <w:color w:val="auto"/>
              </w:rPr>
            </w:pPr>
            <w:r w:rsidRPr="00CE3A46">
              <w:rPr>
                <w:color w:val="auto"/>
              </w:rPr>
              <w:t>4.0</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527EF098" w14:textId="2EE118D3" w:rsidR="00CE3A46" w:rsidRPr="00CE3A46" w:rsidRDefault="00CE3A46" w:rsidP="00CE3A46">
            <w:pPr>
              <w:spacing w:after="0"/>
              <w:jc w:val="center"/>
              <w:rPr>
                <w:color w:val="auto"/>
              </w:rPr>
            </w:pPr>
            <w:r w:rsidRPr="00CE3A46">
              <w:rPr>
                <w:color w:val="auto"/>
              </w:rPr>
              <w:t>3.6</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6AE0D81A" w14:textId="76214AC2" w:rsidR="00CE3A46" w:rsidRPr="00CE3A46" w:rsidRDefault="00CE3A46" w:rsidP="00CE3A46">
            <w:pPr>
              <w:spacing w:after="0"/>
              <w:jc w:val="center"/>
              <w:rPr>
                <w:color w:val="auto"/>
              </w:rPr>
            </w:pPr>
            <w:r w:rsidRPr="00CE3A46">
              <w:rPr>
                <w:color w:val="auto"/>
              </w:rPr>
              <w:t>4.1</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4ECF48F8" w14:textId="3FD5607F"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012F1EC0" w14:textId="75FD37DA" w:rsidR="00CE3A46" w:rsidRPr="00CE3A46" w:rsidRDefault="00CE3A46" w:rsidP="00CE3A46">
            <w:pPr>
              <w:spacing w:after="0"/>
              <w:jc w:val="center"/>
              <w:rPr>
                <w:color w:val="auto"/>
              </w:rPr>
            </w:pPr>
            <w:r w:rsidRPr="00CE3A46">
              <w:rPr>
                <w:color w:val="auto"/>
              </w:rPr>
              <w:t>3.5</w:t>
            </w:r>
          </w:p>
        </w:tc>
        <w:tc>
          <w:tcPr>
            <w:tcW w:w="239" w:type="dxa"/>
            <w:shd w:val="clear" w:color="auto" w:fill="auto"/>
            <w:vAlign w:val="center"/>
            <w:hideMark/>
          </w:tcPr>
          <w:p w14:paraId="07BB5843"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28DCA755"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5BF1B715" w14:textId="6E0A3288" w:rsidR="00CE3A46" w:rsidRPr="00D076AD" w:rsidRDefault="00CE3A46" w:rsidP="00CE3A46">
            <w:pPr>
              <w:spacing w:after="0"/>
              <w:rPr>
                <w:rFonts w:eastAsia="Times New Roman"/>
                <w:color w:val="auto"/>
                <w:lang w:eastAsia="en-AU"/>
              </w:rPr>
            </w:pPr>
            <w:r w:rsidRPr="00D076AD">
              <w:rPr>
                <w:color w:val="auto"/>
              </w:rPr>
              <w:t>Tajikistan</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4A1C2DE6" w14:textId="59C0F1E6" w:rsidR="00CE3A46" w:rsidRPr="00D076AD" w:rsidRDefault="00CE3A46" w:rsidP="00CE3A46">
            <w:pPr>
              <w:spacing w:after="0"/>
              <w:rPr>
                <w:color w:val="auto"/>
              </w:rPr>
            </w:pPr>
            <w:r w:rsidRPr="00D076AD">
              <w:rPr>
                <w:color w:val="auto"/>
              </w:rPr>
              <w:t>Very high</w:t>
            </w:r>
          </w:p>
        </w:tc>
        <w:tc>
          <w:tcPr>
            <w:tcW w:w="709" w:type="dxa"/>
            <w:tcBorders>
              <w:top w:val="nil"/>
              <w:left w:val="nil"/>
              <w:bottom w:val="single" w:sz="4" w:space="0" w:color="333333"/>
              <w:right w:val="single" w:sz="4" w:space="0" w:color="333333"/>
            </w:tcBorders>
            <w:shd w:val="clear" w:color="auto" w:fill="auto"/>
            <w:noWrap/>
            <w:vAlign w:val="center"/>
          </w:tcPr>
          <w:p w14:paraId="49264994" w14:textId="3E6B6FF2" w:rsidR="00CE3A46" w:rsidRPr="00D076AD" w:rsidRDefault="00CE3A46" w:rsidP="00CE3A46">
            <w:pPr>
              <w:spacing w:after="0"/>
              <w:rPr>
                <w:rFonts w:eastAsia="Times New Roman"/>
                <w:color w:val="auto"/>
                <w:lang w:eastAsia="en-AU"/>
              </w:rPr>
            </w:pPr>
            <w:r w:rsidRPr="00D076AD">
              <w:rPr>
                <w:color w:val="auto"/>
              </w:rPr>
              <w:t>14.7</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5CE1A195" w14:textId="69323E14" w:rsidR="00CE3A46" w:rsidRPr="00D076AD" w:rsidRDefault="00CE3A46" w:rsidP="00CE3A46">
            <w:pPr>
              <w:spacing w:after="0"/>
              <w:jc w:val="center"/>
              <w:rPr>
                <w:rFonts w:eastAsia="Times New Roman"/>
                <w:color w:val="auto"/>
                <w:lang w:eastAsia="en-AU"/>
              </w:rPr>
            </w:pPr>
            <w:r w:rsidRPr="00D076AD">
              <w:rPr>
                <w:color w:val="auto"/>
              </w:rPr>
              <w:t>3.9</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5700C3C5" w14:textId="3F43BDD2" w:rsidR="00CE3A46" w:rsidRPr="00D076AD" w:rsidRDefault="00CE3A46" w:rsidP="00CE3A46">
            <w:pPr>
              <w:spacing w:after="0"/>
              <w:jc w:val="center"/>
              <w:rPr>
                <w:rFonts w:eastAsia="Times New Roman"/>
                <w:color w:val="auto"/>
                <w:lang w:eastAsia="en-AU"/>
              </w:rPr>
            </w:pPr>
            <w:r w:rsidRPr="00D076AD">
              <w:rPr>
                <w:color w:val="auto"/>
              </w:rPr>
              <w:t>3.8</w:t>
            </w:r>
          </w:p>
        </w:tc>
        <w:tc>
          <w:tcPr>
            <w:tcW w:w="992" w:type="dxa"/>
            <w:tcBorders>
              <w:top w:val="single" w:sz="4" w:space="0" w:color="333333"/>
              <w:left w:val="nil"/>
              <w:bottom w:val="single" w:sz="4" w:space="0" w:color="333333"/>
              <w:right w:val="single" w:sz="4" w:space="0" w:color="333333"/>
            </w:tcBorders>
            <w:shd w:val="clear" w:color="auto" w:fill="auto"/>
            <w:noWrap/>
          </w:tcPr>
          <w:p w14:paraId="1FA6CB68" w14:textId="61E4D8C3" w:rsidR="00CE3A46" w:rsidRPr="00CE3A46" w:rsidRDefault="00CE3A46" w:rsidP="00CE3A46">
            <w:pPr>
              <w:spacing w:after="0"/>
              <w:jc w:val="center"/>
              <w:rPr>
                <w:color w:val="auto"/>
              </w:rPr>
            </w:pPr>
            <w:r w:rsidRPr="00CE3A46">
              <w:rPr>
                <w:color w:val="auto"/>
              </w:rPr>
              <w:t>4.0</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5CD6058F" w14:textId="35236EA1" w:rsidR="00CE3A46" w:rsidRPr="00CE3A46" w:rsidRDefault="00CE3A46" w:rsidP="00CE3A46">
            <w:pPr>
              <w:spacing w:after="0"/>
              <w:jc w:val="center"/>
              <w:rPr>
                <w:color w:val="auto"/>
              </w:rPr>
            </w:pPr>
            <w:r w:rsidRPr="00CE3A46">
              <w:rPr>
                <w:color w:val="auto"/>
              </w:rPr>
              <w:t>3.7</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19A0224F" w14:textId="636A2933" w:rsidR="00CE3A46" w:rsidRPr="00CE3A46" w:rsidRDefault="00CE3A46" w:rsidP="00CE3A46">
            <w:pPr>
              <w:spacing w:after="0"/>
              <w:jc w:val="center"/>
              <w:rPr>
                <w:color w:val="auto"/>
              </w:rPr>
            </w:pPr>
            <w:r w:rsidRPr="00CE3A46">
              <w:rPr>
                <w:color w:val="auto"/>
              </w:rPr>
              <w:t>2.9</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2F50DEA2" w14:textId="05E7D065" w:rsidR="00CE3A46" w:rsidRPr="00CE3A46" w:rsidRDefault="00CE3A46" w:rsidP="00CE3A46">
            <w:pPr>
              <w:spacing w:after="0"/>
              <w:jc w:val="center"/>
              <w:rPr>
                <w:color w:val="auto"/>
              </w:rPr>
            </w:pPr>
            <w:r w:rsidRPr="00CE3A46">
              <w:rPr>
                <w:color w:val="auto"/>
              </w:rPr>
              <w:t>2.2</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4C79AD97" w14:textId="0FF8F51A" w:rsidR="00CE3A46" w:rsidRPr="00CE3A46" w:rsidRDefault="00CE3A46" w:rsidP="00CE3A46">
            <w:pPr>
              <w:spacing w:after="0"/>
              <w:jc w:val="center"/>
              <w:rPr>
                <w:color w:val="auto"/>
              </w:rPr>
            </w:pPr>
            <w:r w:rsidRPr="00CE3A46">
              <w:rPr>
                <w:color w:val="auto"/>
              </w:rPr>
              <w:t>3.4</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7305514B" w14:textId="0C681EA6"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2E0CA97A" w14:textId="075B186C" w:rsidR="00CE3A46" w:rsidRPr="00CE3A46" w:rsidRDefault="00CE3A46" w:rsidP="00CE3A46">
            <w:pPr>
              <w:spacing w:after="0"/>
              <w:jc w:val="center"/>
              <w:rPr>
                <w:color w:val="auto"/>
              </w:rPr>
            </w:pPr>
            <w:r w:rsidRPr="00CE3A46">
              <w:rPr>
                <w:color w:val="auto"/>
              </w:rPr>
              <w:t>4.2</w:t>
            </w:r>
          </w:p>
        </w:tc>
        <w:tc>
          <w:tcPr>
            <w:tcW w:w="239" w:type="dxa"/>
            <w:shd w:val="clear" w:color="auto" w:fill="auto"/>
            <w:vAlign w:val="center"/>
            <w:hideMark/>
          </w:tcPr>
          <w:p w14:paraId="36CE7148"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4E2E4FCF"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340C28FE" w14:textId="258D11BC" w:rsidR="00CE3A46" w:rsidRPr="00D076AD" w:rsidRDefault="00CE3A46" w:rsidP="00CE3A46">
            <w:pPr>
              <w:spacing w:after="0"/>
              <w:rPr>
                <w:rFonts w:eastAsia="Times New Roman"/>
                <w:color w:val="auto"/>
                <w:lang w:eastAsia="en-AU"/>
              </w:rPr>
            </w:pPr>
            <w:r w:rsidRPr="00D076AD">
              <w:rPr>
                <w:color w:val="auto"/>
              </w:rPr>
              <w:t>Solomon Islands</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129C2B81" w14:textId="695A2D09" w:rsidR="00CE3A46" w:rsidRPr="00D076AD" w:rsidRDefault="00CE3A46" w:rsidP="00CE3A46">
            <w:pPr>
              <w:spacing w:after="0"/>
              <w:rPr>
                <w:color w:val="auto"/>
              </w:rPr>
            </w:pPr>
            <w:r w:rsidRPr="00D076AD">
              <w:rPr>
                <w:color w:val="auto"/>
              </w:rPr>
              <w:t>Very high</w:t>
            </w:r>
          </w:p>
        </w:tc>
        <w:tc>
          <w:tcPr>
            <w:tcW w:w="709" w:type="dxa"/>
            <w:tcBorders>
              <w:top w:val="nil"/>
              <w:left w:val="nil"/>
              <w:bottom w:val="single" w:sz="4" w:space="0" w:color="333333"/>
              <w:right w:val="single" w:sz="4" w:space="0" w:color="333333"/>
            </w:tcBorders>
            <w:shd w:val="clear" w:color="auto" w:fill="auto"/>
            <w:noWrap/>
            <w:vAlign w:val="center"/>
          </w:tcPr>
          <w:p w14:paraId="780AE147" w14:textId="6AAC2A81" w:rsidR="00CE3A46" w:rsidRPr="00D076AD" w:rsidRDefault="00CE3A46" w:rsidP="00CE3A46">
            <w:pPr>
              <w:spacing w:after="0"/>
              <w:rPr>
                <w:rFonts w:eastAsia="Times New Roman"/>
                <w:color w:val="auto"/>
                <w:lang w:eastAsia="en-AU"/>
              </w:rPr>
            </w:pPr>
            <w:r w:rsidRPr="00D076AD">
              <w:rPr>
                <w:color w:val="auto"/>
              </w:rPr>
              <w:t>14.6</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54715E26" w14:textId="705F899A" w:rsidR="00CE3A46" w:rsidRPr="00D076AD" w:rsidRDefault="00CE3A46" w:rsidP="00CE3A46">
            <w:pPr>
              <w:spacing w:after="0"/>
              <w:jc w:val="center"/>
              <w:rPr>
                <w:rFonts w:eastAsia="Times New Roman"/>
                <w:color w:val="auto"/>
                <w:lang w:eastAsia="en-AU"/>
              </w:rPr>
            </w:pPr>
            <w:r w:rsidRPr="00D076AD">
              <w:rPr>
                <w:color w:val="auto"/>
              </w:rPr>
              <w:t>3.3</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1C35AD4D" w14:textId="49595A7D" w:rsidR="00CE3A46" w:rsidRPr="00D076AD" w:rsidRDefault="00CE3A46" w:rsidP="00CE3A46">
            <w:pPr>
              <w:spacing w:after="0"/>
              <w:jc w:val="center"/>
              <w:rPr>
                <w:rFonts w:eastAsia="Times New Roman"/>
                <w:color w:val="auto"/>
                <w:lang w:eastAsia="en-AU"/>
              </w:rPr>
            </w:pPr>
            <w:r w:rsidRPr="00D076AD">
              <w:rPr>
                <w:color w:val="auto"/>
              </w:rPr>
              <w:t>4.4</w:t>
            </w:r>
          </w:p>
        </w:tc>
        <w:tc>
          <w:tcPr>
            <w:tcW w:w="992" w:type="dxa"/>
            <w:tcBorders>
              <w:top w:val="single" w:sz="4" w:space="0" w:color="333333"/>
              <w:left w:val="nil"/>
              <w:bottom w:val="single" w:sz="4" w:space="0" w:color="333333"/>
              <w:right w:val="single" w:sz="4" w:space="0" w:color="333333"/>
            </w:tcBorders>
            <w:shd w:val="clear" w:color="auto" w:fill="auto"/>
            <w:noWrap/>
          </w:tcPr>
          <w:p w14:paraId="674ADAC4" w14:textId="2C73152C" w:rsidR="00CE3A46" w:rsidRPr="00CE3A46" w:rsidRDefault="00CE3A46" w:rsidP="00CE3A46">
            <w:pPr>
              <w:spacing w:after="0"/>
              <w:jc w:val="center"/>
              <w:rPr>
                <w:color w:val="auto"/>
              </w:rPr>
            </w:pPr>
            <w:r w:rsidRPr="00CE3A46">
              <w:rPr>
                <w:color w:val="auto"/>
              </w:rPr>
              <w:t>1.7</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3DB77010" w14:textId="58A8DF4F" w:rsidR="00CE3A46" w:rsidRPr="00CE3A46" w:rsidRDefault="00CE3A46" w:rsidP="00CE3A46">
            <w:pPr>
              <w:spacing w:after="0"/>
              <w:jc w:val="center"/>
              <w:rPr>
                <w:color w:val="auto"/>
              </w:rPr>
            </w:pPr>
            <w:r w:rsidRPr="00CE3A46">
              <w:rPr>
                <w:color w:val="auto"/>
              </w:rPr>
              <w:t>5.0</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4152EE01" w14:textId="4B89D7BB" w:rsidR="00CE3A46" w:rsidRPr="00CE3A46" w:rsidRDefault="00CE3A46" w:rsidP="00CE3A46">
            <w:pPr>
              <w:spacing w:after="0"/>
              <w:jc w:val="center"/>
              <w:rPr>
                <w:color w:val="auto"/>
              </w:rPr>
            </w:pPr>
            <w:r w:rsidRPr="00CE3A46">
              <w:rPr>
                <w:color w:val="auto"/>
              </w:rPr>
              <w:t>4.6</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25816E30" w14:textId="056B971B" w:rsidR="00CE3A46" w:rsidRPr="00CE3A46" w:rsidRDefault="00CE3A46" w:rsidP="00CE3A46">
            <w:pPr>
              <w:spacing w:after="0"/>
              <w:jc w:val="center"/>
              <w:rPr>
                <w:color w:val="auto"/>
              </w:rPr>
            </w:pPr>
            <w:r w:rsidRPr="00CE3A46">
              <w:rPr>
                <w:color w:val="auto"/>
              </w:rPr>
              <w:t>4.4</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716CE866" w14:textId="46BDBCB3" w:rsidR="00CE3A46" w:rsidRPr="00CE3A46" w:rsidRDefault="00CE3A46" w:rsidP="00CE3A46">
            <w:pPr>
              <w:spacing w:after="0"/>
              <w:jc w:val="center"/>
              <w:rPr>
                <w:color w:val="auto"/>
              </w:rPr>
            </w:pPr>
            <w:r w:rsidRPr="00CE3A46">
              <w:rPr>
                <w:color w:val="auto"/>
              </w:rPr>
              <w:t>3.9</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7A1C7D66" w14:textId="40BF8CF1"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3203A512" w14:textId="76C06471" w:rsidR="00CE3A46" w:rsidRPr="00CE3A46" w:rsidRDefault="00CE3A46" w:rsidP="00CE3A46">
            <w:pPr>
              <w:spacing w:after="0"/>
              <w:jc w:val="center"/>
              <w:rPr>
                <w:color w:val="auto"/>
              </w:rPr>
            </w:pPr>
            <w:r w:rsidRPr="00CE3A46">
              <w:rPr>
                <w:color w:val="auto"/>
              </w:rPr>
              <w:t>3.8</w:t>
            </w:r>
          </w:p>
        </w:tc>
        <w:tc>
          <w:tcPr>
            <w:tcW w:w="239" w:type="dxa"/>
            <w:shd w:val="clear" w:color="auto" w:fill="auto"/>
            <w:vAlign w:val="center"/>
            <w:hideMark/>
          </w:tcPr>
          <w:p w14:paraId="50E0767C"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01B9AF13"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61B88D17" w14:textId="5C35E50A" w:rsidR="00CE3A46" w:rsidRPr="00D076AD" w:rsidRDefault="00CE3A46" w:rsidP="00CE3A46">
            <w:pPr>
              <w:spacing w:after="0"/>
              <w:rPr>
                <w:rFonts w:eastAsia="Times New Roman"/>
                <w:color w:val="auto"/>
                <w:lang w:eastAsia="en-AU"/>
              </w:rPr>
            </w:pPr>
            <w:r w:rsidRPr="00D076AD">
              <w:rPr>
                <w:color w:val="auto"/>
              </w:rPr>
              <w:t>Vanuatu</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3415C89B" w14:textId="30E3916E" w:rsidR="00CE3A46" w:rsidRPr="00D076AD" w:rsidRDefault="00CE3A46" w:rsidP="00CE3A46">
            <w:pPr>
              <w:spacing w:after="0"/>
              <w:rPr>
                <w:color w:val="auto"/>
              </w:rPr>
            </w:pPr>
            <w:r w:rsidRPr="00D076AD">
              <w:rPr>
                <w:color w:val="auto"/>
              </w:rPr>
              <w:t>Very high</w:t>
            </w:r>
          </w:p>
        </w:tc>
        <w:tc>
          <w:tcPr>
            <w:tcW w:w="709" w:type="dxa"/>
            <w:tcBorders>
              <w:top w:val="nil"/>
              <w:left w:val="nil"/>
              <w:bottom w:val="single" w:sz="4" w:space="0" w:color="333333"/>
              <w:right w:val="single" w:sz="4" w:space="0" w:color="333333"/>
            </w:tcBorders>
            <w:shd w:val="clear" w:color="auto" w:fill="auto"/>
            <w:noWrap/>
            <w:vAlign w:val="center"/>
          </w:tcPr>
          <w:p w14:paraId="6D713869" w14:textId="60F7DD7E" w:rsidR="00CE3A46" w:rsidRPr="00D076AD" w:rsidRDefault="00CE3A46" w:rsidP="00CE3A46">
            <w:pPr>
              <w:spacing w:after="0"/>
              <w:rPr>
                <w:rFonts w:eastAsia="Times New Roman"/>
                <w:color w:val="auto"/>
                <w:lang w:eastAsia="en-AU"/>
              </w:rPr>
            </w:pPr>
            <w:r w:rsidRPr="00D076AD">
              <w:rPr>
                <w:color w:val="auto"/>
              </w:rPr>
              <w:t>14.4</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2B8E162A" w14:textId="2F7209DD" w:rsidR="00CE3A46" w:rsidRPr="00D076AD" w:rsidRDefault="00CE3A46" w:rsidP="00CE3A46">
            <w:pPr>
              <w:spacing w:after="0"/>
              <w:jc w:val="center"/>
              <w:rPr>
                <w:rFonts w:eastAsia="Times New Roman"/>
                <w:color w:val="auto"/>
                <w:lang w:eastAsia="en-AU"/>
              </w:rPr>
            </w:pPr>
            <w:r w:rsidRPr="00D076AD">
              <w:rPr>
                <w:color w:val="auto"/>
              </w:rPr>
              <w:t>3.2</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04F52101" w14:textId="739ADF20" w:rsidR="00CE3A46" w:rsidRPr="00D076AD" w:rsidRDefault="00CE3A46" w:rsidP="00CE3A46">
            <w:pPr>
              <w:spacing w:after="0"/>
              <w:jc w:val="center"/>
              <w:rPr>
                <w:rFonts w:eastAsia="Times New Roman"/>
                <w:color w:val="auto"/>
                <w:lang w:eastAsia="en-AU"/>
              </w:rPr>
            </w:pPr>
            <w:r w:rsidRPr="00D076AD">
              <w:rPr>
                <w:color w:val="auto"/>
              </w:rPr>
              <w:t>4.5</w:t>
            </w:r>
          </w:p>
        </w:tc>
        <w:tc>
          <w:tcPr>
            <w:tcW w:w="992" w:type="dxa"/>
            <w:tcBorders>
              <w:top w:val="single" w:sz="4" w:space="0" w:color="333333"/>
              <w:left w:val="nil"/>
              <w:bottom w:val="single" w:sz="4" w:space="0" w:color="333333"/>
              <w:right w:val="single" w:sz="4" w:space="0" w:color="333333"/>
            </w:tcBorders>
            <w:shd w:val="clear" w:color="auto" w:fill="auto"/>
            <w:noWrap/>
          </w:tcPr>
          <w:p w14:paraId="5229FB90" w14:textId="4AB19695" w:rsidR="00CE3A46" w:rsidRPr="00CE3A46" w:rsidRDefault="00CE3A46" w:rsidP="00CE3A46">
            <w:pPr>
              <w:spacing w:after="0"/>
              <w:jc w:val="center"/>
              <w:rPr>
                <w:color w:val="auto"/>
              </w:rPr>
            </w:pPr>
            <w:r w:rsidRPr="00CE3A46">
              <w:rPr>
                <w:color w:val="auto"/>
              </w:rPr>
              <w:t>1.9</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2FA4AD6A" w14:textId="5B32F67F" w:rsidR="00CE3A46" w:rsidRPr="00CE3A46" w:rsidRDefault="00CE3A46" w:rsidP="00CE3A46">
            <w:pPr>
              <w:spacing w:after="0"/>
              <w:jc w:val="center"/>
              <w:rPr>
                <w:color w:val="auto"/>
              </w:rPr>
            </w:pPr>
            <w:r w:rsidRPr="00CE3A46">
              <w:rPr>
                <w:color w:val="auto"/>
              </w:rPr>
              <w:t>4.6</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5B9D76C6" w14:textId="785AAE22" w:rsidR="00CE3A46" w:rsidRPr="00CE3A46" w:rsidRDefault="00CE3A46" w:rsidP="00CE3A46">
            <w:pPr>
              <w:spacing w:after="0"/>
              <w:jc w:val="center"/>
              <w:rPr>
                <w:color w:val="auto"/>
              </w:rPr>
            </w:pPr>
            <w:r w:rsidRPr="00CE3A46">
              <w:rPr>
                <w:color w:val="auto"/>
              </w:rPr>
              <w:t>4.8</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42E27DC5" w14:textId="61A5E982" w:rsidR="00CE3A46" w:rsidRPr="00CE3A46" w:rsidRDefault="00CE3A46" w:rsidP="00CE3A46">
            <w:pPr>
              <w:spacing w:after="0"/>
              <w:jc w:val="center"/>
              <w:rPr>
                <w:color w:val="auto"/>
              </w:rPr>
            </w:pPr>
            <w:r w:rsidRPr="00CE3A46">
              <w:rPr>
                <w:color w:val="auto"/>
              </w:rPr>
              <w:t>4.2</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05FFC15E" w14:textId="46471B36" w:rsidR="00CE3A46" w:rsidRPr="00CE3A46" w:rsidRDefault="00CE3A46" w:rsidP="00CE3A46">
            <w:pPr>
              <w:spacing w:after="0"/>
              <w:jc w:val="center"/>
              <w:rPr>
                <w:color w:val="auto"/>
              </w:rPr>
            </w:pPr>
            <w:r w:rsidRPr="00CE3A46">
              <w:rPr>
                <w:color w:val="auto"/>
              </w:rPr>
              <w:t>4.3</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3FA9DB9C" w14:textId="60CCE875"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725ACCCE" w14:textId="596951AA" w:rsidR="00CE3A46" w:rsidRPr="00CE3A46" w:rsidRDefault="00CE3A46" w:rsidP="00CE3A46">
            <w:pPr>
              <w:spacing w:after="0"/>
              <w:jc w:val="center"/>
              <w:rPr>
                <w:color w:val="auto"/>
              </w:rPr>
            </w:pPr>
            <w:r w:rsidRPr="00CE3A46">
              <w:rPr>
                <w:color w:val="auto"/>
              </w:rPr>
              <w:t>4.2</w:t>
            </w:r>
          </w:p>
        </w:tc>
        <w:tc>
          <w:tcPr>
            <w:tcW w:w="239" w:type="dxa"/>
            <w:shd w:val="clear" w:color="auto" w:fill="auto"/>
            <w:vAlign w:val="center"/>
            <w:hideMark/>
          </w:tcPr>
          <w:p w14:paraId="206FF293"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52B1D904"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B7E0BD2" w14:textId="1B65FBB6" w:rsidR="00CE3A46" w:rsidRPr="00D076AD" w:rsidRDefault="00CE3A46" w:rsidP="00CE3A46">
            <w:pPr>
              <w:spacing w:after="0"/>
              <w:rPr>
                <w:rFonts w:eastAsia="Times New Roman"/>
                <w:color w:val="auto"/>
                <w:lang w:eastAsia="en-AU"/>
              </w:rPr>
            </w:pPr>
            <w:r w:rsidRPr="00D076AD">
              <w:rPr>
                <w:color w:val="auto"/>
              </w:rPr>
              <w:t>Kyrgyz Republic</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0374D4A7" w14:textId="244193F3" w:rsidR="00CE3A46" w:rsidRPr="00D076AD" w:rsidRDefault="00CE3A46" w:rsidP="00CE3A46">
            <w:pPr>
              <w:spacing w:after="0"/>
              <w:rPr>
                <w:color w:val="auto"/>
              </w:rPr>
            </w:pPr>
            <w:r w:rsidRPr="00D076AD">
              <w:rPr>
                <w:color w:val="auto"/>
              </w:rPr>
              <w:t>Very high</w:t>
            </w:r>
          </w:p>
        </w:tc>
        <w:tc>
          <w:tcPr>
            <w:tcW w:w="709" w:type="dxa"/>
            <w:tcBorders>
              <w:top w:val="nil"/>
              <w:left w:val="nil"/>
              <w:bottom w:val="single" w:sz="4" w:space="0" w:color="333333"/>
              <w:right w:val="single" w:sz="4" w:space="0" w:color="333333"/>
            </w:tcBorders>
            <w:shd w:val="clear" w:color="auto" w:fill="auto"/>
            <w:noWrap/>
            <w:vAlign w:val="center"/>
          </w:tcPr>
          <w:p w14:paraId="67BF53DE" w14:textId="5478101A" w:rsidR="00CE3A46" w:rsidRPr="00D076AD" w:rsidRDefault="00CE3A46" w:rsidP="00CE3A46">
            <w:pPr>
              <w:spacing w:after="0"/>
              <w:rPr>
                <w:rFonts w:eastAsia="Times New Roman"/>
                <w:color w:val="auto"/>
                <w:lang w:eastAsia="en-AU"/>
              </w:rPr>
            </w:pPr>
            <w:r w:rsidRPr="00D076AD">
              <w:rPr>
                <w:color w:val="auto"/>
              </w:rPr>
              <w:t>13.7</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32015D04" w14:textId="5602C502" w:rsidR="00CE3A46" w:rsidRPr="00D076AD" w:rsidRDefault="00CE3A46" w:rsidP="00CE3A46">
            <w:pPr>
              <w:spacing w:after="0"/>
              <w:jc w:val="center"/>
              <w:rPr>
                <w:rFonts w:eastAsia="Times New Roman"/>
                <w:color w:val="auto"/>
                <w:lang w:eastAsia="en-AU"/>
              </w:rPr>
            </w:pPr>
            <w:r w:rsidRPr="00D076AD">
              <w:rPr>
                <w:color w:val="auto"/>
              </w:rPr>
              <w:t>3.7</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795A3578" w14:textId="7255F9E5" w:rsidR="00CE3A46" w:rsidRPr="00D076AD" w:rsidRDefault="00CE3A46" w:rsidP="00CE3A46">
            <w:pPr>
              <w:spacing w:after="0"/>
              <w:jc w:val="center"/>
              <w:rPr>
                <w:rFonts w:eastAsia="Times New Roman"/>
                <w:color w:val="auto"/>
                <w:lang w:eastAsia="en-AU"/>
              </w:rPr>
            </w:pPr>
            <w:r w:rsidRPr="00D076AD">
              <w:rPr>
                <w:color w:val="auto"/>
              </w:rPr>
              <w:t>3.7</w:t>
            </w:r>
          </w:p>
        </w:tc>
        <w:tc>
          <w:tcPr>
            <w:tcW w:w="992" w:type="dxa"/>
            <w:tcBorders>
              <w:top w:val="single" w:sz="4" w:space="0" w:color="333333"/>
              <w:left w:val="nil"/>
              <w:bottom w:val="single" w:sz="4" w:space="0" w:color="333333"/>
              <w:right w:val="single" w:sz="4" w:space="0" w:color="333333"/>
            </w:tcBorders>
            <w:shd w:val="clear" w:color="auto" w:fill="auto"/>
            <w:noWrap/>
          </w:tcPr>
          <w:p w14:paraId="7C1E9EC8" w14:textId="0C32DB82" w:rsidR="00CE3A46" w:rsidRPr="00CE3A46" w:rsidRDefault="00CE3A46" w:rsidP="00CE3A46">
            <w:pPr>
              <w:spacing w:after="0"/>
              <w:jc w:val="center"/>
              <w:rPr>
                <w:color w:val="auto"/>
              </w:rPr>
            </w:pPr>
            <w:r w:rsidRPr="00CE3A46">
              <w:rPr>
                <w:color w:val="auto"/>
              </w:rPr>
              <w:t>4.8</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3DBE5E7C" w14:textId="408E9C78" w:rsidR="00CE3A46" w:rsidRPr="00CE3A46" w:rsidRDefault="00CE3A46" w:rsidP="00CE3A46">
            <w:pPr>
              <w:spacing w:after="0"/>
              <w:jc w:val="center"/>
              <w:rPr>
                <w:color w:val="auto"/>
              </w:rPr>
            </w:pPr>
            <w:r w:rsidRPr="00CE3A46">
              <w:rPr>
                <w:color w:val="auto"/>
              </w:rPr>
              <w:t>2.6</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4B3B9064" w14:textId="65E832EF" w:rsidR="00CE3A46" w:rsidRPr="00CE3A46" w:rsidRDefault="00CE3A46" w:rsidP="00CE3A46">
            <w:pPr>
              <w:spacing w:after="0"/>
              <w:jc w:val="center"/>
              <w:rPr>
                <w:color w:val="auto"/>
              </w:rPr>
            </w:pPr>
            <w:r w:rsidRPr="00CE3A46">
              <w:rPr>
                <w:color w:val="auto"/>
              </w:rPr>
              <w:t>2.4</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471F21E5" w14:textId="76BBC7B9" w:rsidR="00CE3A46" w:rsidRPr="00CE3A46" w:rsidRDefault="00CE3A46" w:rsidP="00CE3A46">
            <w:pPr>
              <w:spacing w:after="0"/>
              <w:jc w:val="center"/>
              <w:rPr>
                <w:color w:val="auto"/>
              </w:rPr>
            </w:pPr>
            <w:r w:rsidRPr="00CE3A46">
              <w:rPr>
                <w:color w:val="auto"/>
              </w:rPr>
              <w:t>2.9</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106438AB" w14:textId="58C6612B" w:rsidR="00CE3A46" w:rsidRPr="00CE3A46" w:rsidRDefault="00CE3A46" w:rsidP="00CE3A46">
            <w:pPr>
              <w:spacing w:after="0"/>
              <w:jc w:val="center"/>
              <w:rPr>
                <w:color w:val="auto"/>
              </w:rPr>
            </w:pPr>
            <w:r w:rsidRPr="00CE3A46">
              <w:rPr>
                <w:color w:val="auto"/>
              </w:rPr>
              <w:t>2.4</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6FDEAFDD" w14:textId="5939EAAA"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4D0DB6E2" w14:textId="0F9C74BF" w:rsidR="00CE3A46" w:rsidRPr="00CE3A46" w:rsidRDefault="00CE3A46" w:rsidP="00CE3A46">
            <w:pPr>
              <w:spacing w:after="0"/>
              <w:jc w:val="center"/>
              <w:rPr>
                <w:color w:val="auto"/>
              </w:rPr>
            </w:pPr>
            <w:r w:rsidRPr="00CE3A46">
              <w:rPr>
                <w:color w:val="auto"/>
              </w:rPr>
              <w:t>3.2</w:t>
            </w:r>
          </w:p>
        </w:tc>
        <w:tc>
          <w:tcPr>
            <w:tcW w:w="239" w:type="dxa"/>
            <w:shd w:val="clear" w:color="auto" w:fill="auto"/>
            <w:vAlign w:val="center"/>
            <w:hideMark/>
          </w:tcPr>
          <w:p w14:paraId="222DD0D9"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6595E93C"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BDF5389" w14:textId="7A36BE6E" w:rsidR="00CE3A46" w:rsidRPr="00D076AD" w:rsidRDefault="00CE3A46" w:rsidP="00CE3A46">
            <w:pPr>
              <w:spacing w:after="0"/>
              <w:rPr>
                <w:rFonts w:eastAsia="Times New Roman"/>
                <w:color w:val="auto"/>
                <w:lang w:eastAsia="en-AU"/>
              </w:rPr>
            </w:pPr>
            <w:r w:rsidRPr="00D076AD">
              <w:rPr>
                <w:color w:val="auto"/>
              </w:rPr>
              <w:t>Uzbekistan</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3645103C" w14:textId="29E6B218" w:rsidR="00CE3A46" w:rsidRPr="00D076AD" w:rsidRDefault="00CE3A46" w:rsidP="00CE3A46">
            <w:pPr>
              <w:spacing w:after="0"/>
              <w:rPr>
                <w:color w:val="auto"/>
              </w:rPr>
            </w:pPr>
            <w:r w:rsidRPr="00D076AD">
              <w:rPr>
                <w:color w:val="auto"/>
              </w:rPr>
              <w:t>Very high</w:t>
            </w:r>
          </w:p>
        </w:tc>
        <w:tc>
          <w:tcPr>
            <w:tcW w:w="709" w:type="dxa"/>
            <w:tcBorders>
              <w:top w:val="nil"/>
              <w:left w:val="nil"/>
              <w:bottom w:val="single" w:sz="4" w:space="0" w:color="333333"/>
              <w:right w:val="single" w:sz="4" w:space="0" w:color="333333"/>
            </w:tcBorders>
            <w:shd w:val="clear" w:color="auto" w:fill="auto"/>
            <w:noWrap/>
            <w:vAlign w:val="center"/>
          </w:tcPr>
          <w:p w14:paraId="0A8C3B7C" w14:textId="62211ED5" w:rsidR="00CE3A46" w:rsidRPr="00D076AD" w:rsidRDefault="00CE3A46" w:rsidP="00CE3A46">
            <w:pPr>
              <w:spacing w:after="0"/>
              <w:rPr>
                <w:rFonts w:eastAsia="Times New Roman"/>
                <w:color w:val="auto"/>
                <w:lang w:eastAsia="en-AU"/>
              </w:rPr>
            </w:pPr>
            <w:r w:rsidRPr="00D076AD">
              <w:rPr>
                <w:color w:val="auto"/>
              </w:rPr>
              <w:t>13.6</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40D2B247" w14:textId="03C5721A" w:rsidR="00CE3A46" w:rsidRPr="00D076AD" w:rsidRDefault="00CE3A46" w:rsidP="00CE3A46">
            <w:pPr>
              <w:spacing w:after="0"/>
              <w:jc w:val="center"/>
              <w:rPr>
                <w:rFonts w:eastAsia="Times New Roman"/>
                <w:color w:val="auto"/>
                <w:lang w:eastAsia="en-AU"/>
              </w:rPr>
            </w:pPr>
            <w:r w:rsidRPr="00D076AD">
              <w:rPr>
                <w:color w:val="auto"/>
              </w:rPr>
              <w:t>3.7</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6E0E2A67" w14:textId="2FE0EA71" w:rsidR="00CE3A46" w:rsidRPr="00D076AD" w:rsidRDefault="00CE3A46" w:rsidP="00CE3A46">
            <w:pPr>
              <w:spacing w:after="0"/>
              <w:jc w:val="center"/>
              <w:rPr>
                <w:rFonts w:eastAsia="Times New Roman"/>
                <w:color w:val="auto"/>
                <w:lang w:eastAsia="en-AU"/>
              </w:rPr>
            </w:pPr>
            <w:r w:rsidRPr="00D076AD">
              <w:rPr>
                <w:color w:val="auto"/>
              </w:rPr>
              <w:t>3.7</w:t>
            </w:r>
          </w:p>
        </w:tc>
        <w:tc>
          <w:tcPr>
            <w:tcW w:w="992" w:type="dxa"/>
            <w:tcBorders>
              <w:top w:val="single" w:sz="4" w:space="0" w:color="333333"/>
              <w:left w:val="nil"/>
              <w:bottom w:val="single" w:sz="4" w:space="0" w:color="333333"/>
              <w:right w:val="single" w:sz="4" w:space="0" w:color="333333"/>
            </w:tcBorders>
            <w:shd w:val="clear" w:color="auto" w:fill="auto"/>
            <w:noWrap/>
          </w:tcPr>
          <w:p w14:paraId="5E3F9319" w14:textId="6D4D51A2" w:rsidR="00CE3A46" w:rsidRPr="00CE3A46" w:rsidRDefault="00CE3A46" w:rsidP="00CE3A46">
            <w:pPr>
              <w:spacing w:after="0"/>
              <w:jc w:val="center"/>
              <w:rPr>
                <w:color w:val="auto"/>
              </w:rPr>
            </w:pPr>
            <w:r w:rsidRPr="00CE3A46">
              <w:rPr>
                <w:color w:val="auto"/>
              </w:rPr>
              <w:t>4.3</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47FB0923" w14:textId="528EE0B5" w:rsidR="00CE3A46" w:rsidRPr="00CE3A46" w:rsidRDefault="00CE3A46" w:rsidP="00CE3A46">
            <w:pPr>
              <w:spacing w:after="0"/>
              <w:jc w:val="center"/>
              <w:rPr>
                <w:color w:val="auto"/>
              </w:rPr>
            </w:pPr>
            <w:r w:rsidRPr="00CE3A46">
              <w:rPr>
                <w:color w:val="auto"/>
              </w:rPr>
              <w:t>3.1</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049A6281" w14:textId="577FF31E" w:rsidR="00CE3A46" w:rsidRPr="00CE3A46" w:rsidRDefault="00CE3A46" w:rsidP="00CE3A46">
            <w:pPr>
              <w:spacing w:after="0"/>
              <w:jc w:val="center"/>
              <w:rPr>
                <w:color w:val="auto"/>
              </w:rPr>
            </w:pPr>
            <w:r w:rsidRPr="00CE3A46">
              <w:rPr>
                <w:color w:val="auto"/>
              </w:rPr>
              <w:t>3.2</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31C199B9" w14:textId="7EB5958A" w:rsidR="00CE3A46" w:rsidRPr="00CE3A46" w:rsidRDefault="00CE3A46" w:rsidP="00CE3A46">
            <w:pPr>
              <w:spacing w:after="0"/>
              <w:jc w:val="center"/>
              <w:rPr>
                <w:color w:val="auto"/>
              </w:rPr>
            </w:pPr>
            <w:r w:rsidRPr="00CE3A46">
              <w:rPr>
                <w:color w:val="auto"/>
              </w:rPr>
              <w:t>2.7</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6B332426" w14:textId="2A9DA082" w:rsidR="00CE3A46" w:rsidRPr="00CE3A46" w:rsidRDefault="00CE3A46" w:rsidP="00CE3A46">
            <w:pPr>
              <w:spacing w:after="0"/>
              <w:jc w:val="center"/>
              <w:rPr>
                <w:color w:val="auto"/>
              </w:rPr>
            </w:pPr>
            <w:r w:rsidRPr="00CE3A46">
              <w:rPr>
                <w:color w:val="auto"/>
              </w:rPr>
              <w:t>3.6</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23FEACC2" w14:textId="755215BC"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7C365821" w14:textId="779638FC" w:rsidR="00CE3A46" w:rsidRPr="00CE3A46" w:rsidRDefault="00CE3A46" w:rsidP="00CE3A46">
            <w:pPr>
              <w:spacing w:after="0"/>
              <w:jc w:val="center"/>
              <w:rPr>
                <w:color w:val="auto"/>
              </w:rPr>
            </w:pPr>
            <w:r w:rsidRPr="00CE3A46">
              <w:rPr>
                <w:color w:val="auto"/>
              </w:rPr>
              <w:t>3.4</w:t>
            </w:r>
          </w:p>
        </w:tc>
        <w:tc>
          <w:tcPr>
            <w:tcW w:w="239" w:type="dxa"/>
            <w:shd w:val="clear" w:color="auto" w:fill="auto"/>
            <w:vAlign w:val="center"/>
            <w:hideMark/>
          </w:tcPr>
          <w:p w14:paraId="4BDFD908"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7D176252"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321A120" w14:textId="7624BA6B" w:rsidR="00CE3A46" w:rsidRPr="00D076AD" w:rsidRDefault="00CE3A46" w:rsidP="00CE3A46">
            <w:pPr>
              <w:spacing w:after="0"/>
              <w:rPr>
                <w:rFonts w:eastAsia="Times New Roman"/>
                <w:color w:val="auto"/>
                <w:lang w:eastAsia="en-AU"/>
              </w:rPr>
            </w:pPr>
            <w:r w:rsidRPr="00D076AD">
              <w:rPr>
                <w:color w:val="auto"/>
              </w:rPr>
              <w:t>Bhutan</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350897ED" w14:textId="59301FB8" w:rsidR="00CE3A46" w:rsidRPr="00D076AD" w:rsidRDefault="00CE3A46" w:rsidP="00CE3A46">
            <w:pPr>
              <w:spacing w:after="0"/>
              <w:rPr>
                <w:color w:val="auto"/>
              </w:rPr>
            </w:pPr>
            <w:r w:rsidRPr="00D076AD">
              <w:rPr>
                <w:color w:val="auto"/>
              </w:rPr>
              <w:t>Very high</w:t>
            </w:r>
          </w:p>
        </w:tc>
        <w:tc>
          <w:tcPr>
            <w:tcW w:w="709" w:type="dxa"/>
            <w:tcBorders>
              <w:top w:val="nil"/>
              <w:left w:val="nil"/>
              <w:bottom w:val="single" w:sz="4" w:space="0" w:color="333333"/>
              <w:right w:val="single" w:sz="4" w:space="0" w:color="333333"/>
            </w:tcBorders>
            <w:shd w:val="clear" w:color="auto" w:fill="auto"/>
            <w:noWrap/>
            <w:vAlign w:val="center"/>
          </w:tcPr>
          <w:p w14:paraId="73B99587" w14:textId="29B74529" w:rsidR="00CE3A46" w:rsidRPr="00D076AD" w:rsidRDefault="00CE3A46" w:rsidP="00CE3A46">
            <w:pPr>
              <w:spacing w:after="0"/>
              <w:rPr>
                <w:rFonts w:eastAsia="Times New Roman"/>
                <w:color w:val="auto"/>
                <w:lang w:eastAsia="en-AU"/>
              </w:rPr>
            </w:pPr>
            <w:r w:rsidRPr="00D076AD">
              <w:rPr>
                <w:color w:val="auto"/>
              </w:rPr>
              <w:t>13.0</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31AA5979" w14:textId="47B4295B" w:rsidR="00CE3A46" w:rsidRPr="00D076AD" w:rsidRDefault="00CE3A46" w:rsidP="00CE3A46">
            <w:pPr>
              <w:spacing w:after="0"/>
              <w:jc w:val="center"/>
              <w:rPr>
                <w:rFonts w:eastAsia="Times New Roman"/>
                <w:color w:val="auto"/>
                <w:lang w:eastAsia="en-AU"/>
              </w:rPr>
            </w:pPr>
            <w:r w:rsidRPr="00D076AD">
              <w:rPr>
                <w:color w:val="auto"/>
              </w:rPr>
              <w:t>3.1</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6F37537E" w14:textId="46F2919B" w:rsidR="00CE3A46" w:rsidRPr="00D076AD" w:rsidRDefault="00CE3A46" w:rsidP="00CE3A46">
            <w:pPr>
              <w:spacing w:after="0"/>
              <w:jc w:val="center"/>
              <w:rPr>
                <w:rFonts w:eastAsia="Times New Roman"/>
                <w:color w:val="auto"/>
                <w:lang w:eastAsia="en-AU"/>
              </w:rPr>
            </w:pPr>
            <w:r w:rsidRPr="00D076AD">
              <w:rPr>
                <w:color w:val="auto"/>
              </w:rPr>
              <w:t>4.2</w:t>
            </w:r>
          </w:p>
        </w:tc>
        <w:tc>
          <w:tcPr>
            <w:tcW w:w="992" w:type="dxa"/>
            <w:tcBorders>
              <w:top w:val="single" w:sz="4" w:space="0" w:color="333333"/>
              <w:left w:val="nil"/>
              <w:bottom w:val="single" w:sz="4" w:space="0" w:color="333333"/>
              <w:right w:val="single" w:sz="4" w:space="0" w:color="333333"/>
            </w:tcBorders>
            <w:shd w:val="clear" w:color="auto" w:fill="auto"/>
            <w:noWrap/>
          </w:tcPr>
          <w:p w14:paraId="45047D42" w14:textId="19944966" w:rsidR="00CE3A46" w:rsidRPr="00CE3A46" w:rsidRDefault="00CE3A46" w:rsidP="00CE3A46">
            <w:pPr>
              <w:spacing w:after="0"/>
              <w:jc w:val="center"/>
              <w:rPr>
                <w:color w:val="auto"/>
              </w:rPr>
            </w:pPr>
            <w:r w:rsidRPr="00CE3A46">
              <w:rPr>
                <w:color w:val="auto"/>
              </w:rPr>
              <w:t>4.1</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584636A0" w14:textId="24A991B0" w:rsidR="00CE3A46" w:rsidRPr="00CE3A46" w:rsidRDefault="00CE3A46" w:rsidP="00CE3A46">
            <w:pPr>
              <w:spacing w:after="0"/>
              <w:jc w:val="center"/>
              <w:rPr>
                <w:color w:val="auto"/>
              </w:rPr>
            </w:pPr>
            <w:r w:rsidRPr="00CE3A46">
              <w:rPr>
                <w:color w:val="auto"/>
              </w:rPr>
              <w:t>2.1</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18AA7650" w14:textId="7197A2E7" w:rsidR="00CE3A46" w:rsidRPr="00CE3A46" w:rsidRDefault="00CE3A46" w:rsidP="00CE3A46">
            <w:pPr>
              <w:spacing w:after="0"/>
              <w:jc w:val="center"/>
              <w:rPr>
                <w:color w:val="auto"/>
              </w:rPr>
            </w:pPr>
            <w:r w:rsidRPr="00CE3A46">
              <w:rPr>
                <w:color w:val="auto"/>
              </w:rPr>
              <w:t>2.8</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5E899AE6" w14:textId="0DD32B14" w:rsidR="00CE3A46" w:rsidRPr="00CE3A46" w:rsidRDefault="00CE3A46" w:rsidP="00CE3A46">
            <w:pPr>
              <w:spacing w:after="0"/>
              <w:jc w:val="center"/>
              <w:rPr>
                <w:color w:val="auto"/>
              </w:rPr>
            </w:pPr>
            <w:r w:rsidRPr="00CE3A46">
              <w:rPr>
                <w:color w:val="auto"/>
              </w:rPr>
              <w:t>3.7</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60086077" w14:textId="1AF45646" w:rsidR="00CE3A46" w:rsidRPr="00CE3A46" w:rsidRDefault="00CE3A46" w:rsidP="00CE3A46">
            <w:pPr>
              <w:spacing w:after="0"/>
              <w:jc w:val="center"/>
              <w:rPr>
                <w:color w:val="auto"/>
              </w:rPr>
            </w:pPr>
            <w:r w:rsidRPr="00CE3A46">
              <w:rPr>
                <w:color w:val="auto"/>
              </w:rPr>
              <w:t>3.2</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3C69992F" w14:textId="1FB7966A"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3A2685C1" w14:textId="108C5A14" w:rsidR="00CE3A46" w:rsidRPr="00CE3A46" w:rsidRDefault="00CE3A46" w:rsidP="00CE3A46">
            <w:pPr>
              <w:spacing w:after="0"/>
              <w:jc w:val="center"/>
              <w:rPr>
                <w:color w:val="auto"/>
              </w:rPr>
            </w:pPr>
            <w:r w:rsidRPr="00CE3A46">
              <w:rPr>
                <w:color w:val="auto"/>
              </w:rPr>
              <w:t>3.8</w:t>
            </w:r>
          </w:p>
        </w:tc>
        <w:tc>
          <w:tcPr>
            <w:tcW w:w="239" w:type="dxa"/>
            <w:shd w:val="clear" w:color="auto" w:fill="auto"/>
            <w:vAlign w:val="center"/>
            <w:hideMark/>
          </w:tcPr>
          <w:p w14:paraId="72E6033E"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1F7408DE"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523ED49" w14:textId="69762118" w:rsidR="00CE3A46" w:rsidRPr="00D076AD" w:rsidRDefault="00CE3A46" w:rsidP="00CE3A46">
            <w:pPr>
              <w:spacing w:after="0"/>
              <w:rPr>
                <w:rFonts w:eastAsia="Times New Roman"/>
                <w:color w:val="auto"/>
                <w:lang w:eastAsia="en-AU"/>
              </w:rPr>
            </w:pPr>
            <w:r w:rsidRPr="00D076AD">
              <w:rPr>
                <w:color w:val="auto"/>
              </w:rPr>
              <w:t>Marshall Islands</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4F1D5199" w14:textId="14089903" w:rsidR="00CE3A46" w:rsidRPr="00D076AD" w:rsidRDefault="00CE3A46" w:rsidP="00CE3A46">
            <w:pPr>
              <w:spacing w:after="0"/>
              <w:rPr>
                <w:color w:val="auto"/>
              </w:rPr>
            </w:pPr>
            <w:r w:rsidRPr="00D076AD">
              <w:rPr>
                <w:color w:val="auto"/>
              </w:rPr>
              <w:t>Very high</w:t>
            </w:r>
          </w:p>
        </w:tc>
        <w:tc>
          <w:tcPr>
            <w:tcW w:w="709" w:type="dxa"/>
            <w:tcBorders>
              <w:top w:val="nil"/>
              <w:left w:val="nil"/>
              <w:bottom w:val="single" w:sz="4" w:space="0" w:color="333333"/>
              <w:right w:val="single" w:sz="4" w:space="0" w:color="333333"/>
            </w:tcBorders>
            <w:shd w:val="clear" w:color="auto" w:fill="auto"/>
            <w:noWrap/>
            <w:vAlign w:val="center"/>
          </w:tcPr>
          <w:p w14:paraId="53966298" w14:textId="20647745" w:rsidR="00CE3A46" w:rsidRPr="00D076AD" w:rsidRDefault="00CE3A46" w:rsidP="00CE3A46">
            <w:pPr>
              <w:spacing w:after="0"/>
              <w:rPr>
                <w:rFonts w:eastAsia="Times New Roman"/>
                <w:color w:val="auto"/>
                <w:lang w:eastAsia="en-AU"/>
              </w:rPr>
            </w:pPr>
            <w:r w:rsidRPr="00D076AD">
              <w:rPr>
                <w:color w:val="auto"/>
              </w:rPr>
              <w:t>13.0</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4B514506" w14:textId="41D29601" w:rsidR="00CE3A46" w:rsidRPr="00D076AD" w:rsidRDefault="00CE3A46" w:rsidP="00CE3A46">
            <w:pPr>
              <w:spacing w:after="0"/>
              <w:jc w:val="center"/>
              <w:rPr>
                <w:rFonts w:eastAsia="Times New Roman"/>
                <w:color w:val="auto"/>
                <w:lang w:eastAsia="en-AU"/>
              </w:rPr>
            </w:pPr>
            <w:r w:rsidRPr="00D076AD">
              <w:rPr>
                <w:color w:val="auto"/>
              </w:rPr>
              <w:t>2.9</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07D1CEED" w14:textId="6E030123" w:rsidR="00CE3A46" w:rsidRPr="00D076AD" w:rsidRDefault="00CE3A46" w:rsidP="00CE3A46">
            <w:pPr>
              <w:spacing w:after="0"/>
              <w:jc w:val="center"/>
              <w:rPr>
                <w:rFonts w:eastAsia="Times New Roman"/>
                <w:color w:val="auto"/>
                <w:lang w:eastAsia="en-AU"/>
              </w:rPr>
            </w:pPr>
            <w:r w:rsidRPr="00D076AD">
              <w:rPr>
                <w:color w:val="auto"/>
              </w:rPr>
              <w:t>4.4</w:t>
            </w:r>
          </w:p>
        </w:tc>
        <w:tc>
          <w:tcPr>
            <w:tcW w:w="992" w:type="dxa"/>
            <w:tcBorders>
              <w:top w:val="single" w:sz="4" w:space="0" w:color="333333"/>
              <w:left w:val="nil"/>
              <w:bottom w:val="single" w:sz="4" w:space="0" w:color="333333"/>
              <w:right w:val="single" w:sz="4" w:space="0" w:color="333333"/>
            </w:tcBorders>
            <w:shd w:val="clear" w:color="auto" w:fill="auto"/>
            <w:noWrap/>
          </w:tcPr>
          <w:p w14:paraId="5CE9C5DC" w14:textId="0A8B350E" w:rsidR="00CE3A46" w:rsidRPr="00CE3A46" w:rsidRDefault="00CE3A46" w:rsidP="00CE3A46">
            <w:pPr>
              <w:spacing w:after="0"/>
              <w:jc w:val="center"/>
              <w:rPr>
                <w:color w:val="auto"/>
              </w:rPr>
            </w:pPr>
            <w:r w:rsidRPr="00CE3A46">
              <w:rPr>
                <w:color w:val="auto"/>
              </w:rPr>
              <w:t>1.7</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0F587306" w14:textId="3C82849A" w:rsidR="00CE3A46" w:rsidRPr="00CE3A46" w:rsidRDefault="00CE3A46" w:rsidP="00CE3A46">
            <w:pPr>
              <w:spacing w:after="0"/>
              <w:jc w:val="center"/>
              <w:rPr>
                <w:color w:val="auto"/>
              </w:rPr>
            </w:pPr>
            <w:r w:rsidRPr="00CE3A46">
              <w:rPr>
                <w:color w:val="auto"/>
              </w:rPr>
              <w:t>4.1</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4F416873" w14:textId="26C0E8C7" w:rsidR="00CE3A46" w:rsidRPr="00CE3A46" w:rsidRDefault="00CE3A46" w:rsidP="00CE3A46">
            <w:pPr>
              <w:spacing w:after="0"/>
              <w:jc w:val="center"/>
              <w:rPr>
                <w:color w:val="auto"/>
              </w:rPr>
            </w:pPr>
            <w:r w:rsidRPr="00CE3A46">
              <w:rPr>
                <w:color w:val="auto"/>
              </w:rPr>
              <w:t>3.6</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1B50D141" w14:textId="3F4E943B" w:rsidR="00CE3A46" w:rsidRPr="00CE3A46" w:rsidRDefault="00CE3A46" w:rsidP="00CE3A46">
            <w:pPr>
              <w:spacing w:after="0"/>
              <w:jc w:val="center"/>
              <w:rPr>
                <w:color w:val="auto"/>
              </w:rPr>
            </w:pPr>
            <w:r w:rsidRPr="00CE3A46">
              <w:rPr>
                <w:color w:val="auto"/>
              </w:rPr>
              <w:t>4.3</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06787D6A" w14:textId="4F098688" w:rsidR="00CE3A46" w:rsidRPr="00CE3A46" w:rsidRDefault="00CE3A46" w:rsidP="00CE3A46">
            <w:pPr>
              <w:spacing w:after="0"/>
              <w:jc w:val="center"/>
              <w:rPr>
                <w:color w:val="auto"/>
              </w:rPr>
            </w:pPr>
            <w:r w:rsidRPr="00CE3A46">
              <w:rPr>
                <w:color w:val="auto"/>
              </w:rPr>
              <w:t>5.0</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576FF3F8" w14:textId="758C64F8"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7CEF4E3A" w14:textId="7AB045F5" w:rsidR="00CE3A46" w:rsidRPr="00CE3A46" w:rsidRDefault="00CE3A46" w:rsidP="00CE3A46">
            <w:pPr>
              <w:spacing w:after="0"/>
              <w:jc w:val="center"/>
              <w:rPr>
                <w:color w:val="auto"/>
              </w:rPr>
            </w:pPr>
            <w:r w:rsidRPr="00CE3A46">
              <w:rPr>
                <w:color w:val="auto"/>
              </w:rPr>
              <w:t>4.0</w:t>
            </w:r>
          </w:p>
        </w:tc>
        <w:tc>
          <w:tcPr>
            <w:tcW w:w="239" w:type="dxa"/>
            <w:shd w:val="clear" w:color="auto" w:fill="auto"/>
            <w:vAlign w:val="center"/>
            <w:hideMark/>
          </w:tcPr>
          <w:p w14:paraId="0398FECF"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5390EEB5"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184F2EE" w14:textId="06E1F312" w:rsidR="00CE3A46" w:rsidRPr="00D076AD" w:rsidRDefault="00CE3A46" w:rsidP="00CE3A46">
            <w:pPr>
              <w:spacing w:after="0"/>
              <w:rPr>
                <w:rFonts w:eastAsia="Times New Roman"/>
                <w:color w:val="auto"/>
                <w:lang w:eastAsia="en-AU"/>
              </w:rPr>
            </w:pPr>
            <w:r w:rsidRPr="00D076AD">
              <w:rPr>
                <w:color w:val="auto"/>
              </w:rPr>
              <w:t>India</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7A43D036" w14:textId="390ABB02" w:rsidR="00CE3A46" w:rsidRPr="00D076AD" w:rsidRDefault="00CE3A46" w:rsidP="00CE3A46">
            <w:pPr>
              <w:spacing w:after="0"/>
              <w:rPr>
                <w:color w:val="auto"/>
              </w:rPr>
            </w:pPr>
            <w:r w:rsidRPr="00D076AD">
              <w:rPr>
                <w:color w:val="auto"/>
              </w:rPr>
              <w:t>Very high</w:t>
            </w:r>
          </w:p>
        </w:tc>
        <w:tc>
          <w:tcPr>
            <w:tcW w:w="709" w:type="dxa"/>
            <w:tcBorders>
              <w:top w:val="nil"/>
              <w:left w:val="nil"/>
              <w:bottom w:val="single" w:sz="4" w:space="0" w:color="333333"/>
              <w:right w:val="single" w:sz="4" w:space="0" w:color="333333"/>
            </w:tcBorders>
            <w:shd w:val="clear" w:color="auto" w:fill="auto"/>
            <w:noWrap/>
            <w:vAlign w:val="center"/>
          </w:tcPr>
          <w:p w14:paraId="63113F1E" w14:textId="1A9C4949" w:rsidR="00CE3A46" w:rsidRPr="00D076AD" w:rsidRDefault="00CE3A46" w:rsidP="00CE3A46">
            <w:pPr>
              <w:spacing w:after="0"/>
              <w:rPr>
                <w:rFonts w:eastAsia="Times New Roman"/>
                <w:color w:val="auto"/>
                <w:lang w:eastAsia="en-AU"/>
              </w:rPr>
            </w:pPr>
            <w:r w:rsidRPr="00D076AD">
              <w:rPr>
                <w:color w:val="auto"/>
              </w:rPr>
              <w:t>12.8</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27AF5271" w14:textId="33B50361" w:rsidR="00CE3A46" w:rsidRPr="00D076AD" w:rsidRDefault="00CE3A46" w:rsidP="00CE3A46">
            <w:pPr>
              <w:spacing w:after="0"/>
              <w:jc w:val="center"/>
              <w:rPr>
                <w:rFonts w:eastAsia="Times New Roman"/>
                <w:color w:val="auto"/>
                <w:lang w:eastAsia="en-AU"/>
              </w:rPr>
            </w:pPr>
            <w:r w:rsidRPr="00D076AD">
              <w:rPr>
                <w:color w:val="auto"/>
              </w:rPr>
              <w:t>3.2</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0BFA8C26" w14:textId="79BB5498" w:rsidR="00CE3A46" w:rsidRPr="00D076AD" w:rsidRDefault="00CE3A46" w:rsidP="00CE3A46">
            <w:pPr>
              <w:spacing w:after="0"/>
              <w:jc w:val="center"/>
              <w:rPr>
                <w:rFonts w:eastAsia="Times New Roman"/>
                <w:color w:val="auto"/>
                <w:lang w:eastAsia="en-AU"/>
              </w:rPr>
            </w:pPr>
            <w:r w:rsidRPr="00D076AD">
              <w:rPr>
                <w:color w:val="auto"/>
              </w:rPr>
              <w:t>4.0</w:t>
            </w:r>
          </w:p>
        </w:tc>
        <w:tc>
          <w:tcPr>
            <w:tcW w:w="992" w:type="dxa"/>
            <w:tcBorders>
              <w:top w:val="single" w:sz="4" w:space="0" w:color="333333"/>
              <w:left w:val="nil"/>
              <w:bottom w:val="single" w:sz="4" w:space="0" w:color="333333"/>
              <w:right w:val="single" w:sz="4" w:space="0" w:color="333333"/>
            </w:tcBorders>
            <w:shd w:val="clear" w:color="auto" w:fill="auto"/>
            <w:noWrap/>
          </w:tcPr>
          <w:p w14:paraId="035EFBBC" w14:textId="4F85CC59" w:rsidR="00CE3A46" w:rsidRPr="00CE3A46" w:rsidRDefault="00CE3A46" w:rsidP="00CE3A46">
            <w:pPr>
              <w:spacing w:after="0"/>
              <w:jc w:val="center"/>
              <w:rPr>
                <w:color w:val="auto"/>
              </w:rPr>
            </w:pPr>
            <w:r w:rsidRPr="00CE3A46">
              <w:rPr>
                <w:color w:val="auto"/>
              </w:rPr>
              <w:t>3.0</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6DEC07CD" w14:textId="435A1A68" w:rsidR="00CE3A46" w:rsidRPr="00CE3A46" w:rsidRDefault="00CE3A46" w:rsidP="00CE3A46">
            <w:pPr>
              <w:spacing w:after="0"/>
              <w:jc w:val="center"/>
              <w:rPr>
                <w:color w:val="auto"/>
              </w:rPr>
            </w:pPr>
            <w:r w:rsidRPr="00CE3A46">
              <w:rPr>
                <w:color w:val="auto"/>
              </w:rPr>
              <w:t>3.3</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12F43FA2" w14:textId="77D55A19" w:rsidR="00CE3A46" w:rsidRPr="00CE3A46" w:rsidRDefault="00CE3A46" w:rsidP="00CE3A46">
            <w:pPr>
              <w:spacing w:after="0"/>
              <w:jc w:val="center"/>
              <w:rPr>
                <w:color w:val="auto"/>
              </w:rPr>
            </w:pPr>
            <w:r w:rsidRPr="00CE3A46">
              <w:rPr>
                <w:color w:val="auto"/>
              </w:rPr>
              <w:t>3.5</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3F39DC94" w14:textId="2A77668C" w:rsidR="00CE3A46" w:rsidRPr="00CE3A46" w:rsidRDefault="00CE3A46" w:rsidP="00CE3A46">
            <w:pPr>
              <w:spacing w:after="0"/>
              <w:jc w:val="center"/>
              <w:rPr>
                <w:color w:val="auto"/>
              </w:rPr>
            </w:pPr>
            <w:r w:rsidRPr="00CE3A46">
              <w:rPr>
                <w:color w:val="auto"/>
              </w:rPr>
              <w:t>3.5</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29CFF27B" w14:textId="111F7F6C" w:rsidR="00CE3A46" w:rsidRPr="00CE3A46" w:rsidRDefault="00CE3A46" w:rsidP="00CE3A46">
            <w:pPr>
              <w:spacing w:after="0"/>
              <w:jc w:val="center"/>
              <w:rPr>
                <w:color w:val="auto"/>
              </w:rPr>
            </w:pPr>
            <w:r w:rsidRPr="00CE3A46">
              <w:rPr>
                <w:color w:val="auto"/>
              </w:rPr>
              <w:t>4.0</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299634EC" w14:textId="32A43DCC"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02790C38" w14:textId="720437C6" w:rsidR="00CE3A46" w:rsidRPr="00CE3A46" w:rsidRDefault="00CE3A46" w:rsidP="00CE3A46">
            <w:pPr>
              <w:spacing w:after="0"/>
              <w:jc w:val="center"/>
              <w:rPr>
                <w:color w:val="auto"/>
              </w:rPr>
            </w:pPr>
            <w:r w:rsidRPr="00CE3A46">
              <w:rPr>
                <w:color w:val="auto"/>
              </w:rPr>
              <w:t>3.6</w:t>
            </w:r>
          </w:p>
        </w:tc>
        <w:tc>
          <w:tcPr>
            <w:tcW w:w="239" w:type="dxa"/>
            <w:shd w:val="clear" w:color="auto" w:fill="auto"/>
            <w:vAlign w:val="center"/>
            <w:hideMark/>
          </w:tcPr>
          <w:p w14:paraId="78D66295"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0497BDE0"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7A227AFB" w14:textId="3C56529C" w:rsidR="00CE3A46" w:rsidRPr="00D076AD" w:rsidRDefault="00CE3A46" w:rsidP="00CE3A46">
            <w:pPr>
              <w:spacing w:after="0"/>
              <w:rPr>
                <w:rFonts w:eastAsia="Times New Roman"/>
                <w:color w:val="auto"/>
                <w:lang w:eastAsia="en-AU"/>
              </w:rPr>
            </w:pPr>
            <w:r w:rsidRPr="00D076AD">
              <w:rPr>
                <w:color w:val="auto"/>
              </w:rPr>
              <w:t>Georgia</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51E8C23A" w14:textId="481E80BC" w:rsidR="00CE3A46" w:rsidRPr="00D076AD" w:rsidRDefault="00CE3A46" w:rsidP="00CE3A46">
            <w:pPr>
              <w:spacing w:after="0"/>
              <w:rPr>
                <w:color w:val="auto"/>
              </w:rPr>
            </w:pPr>
            <w:r w:rsidRPr="00D076AD">
              <w:rPr>
                <w:color w:val="auto"/>
              </w:rPr>
              <w:t>Very high</w:t>
            </w:r>
          </w:p>
        </w:tc>
        <w:tc>
          <w:tcPr>
            <w:tcW w:w="709" w:type="dxa"/>
            <w:tcBorders>
              <w:top w:val="nil"/>
              <w:left w:val="nil"/>
              <w:bottom w:val="single" w:sz="4" w:space="0" w:color="333333"/>
              <w:right w:val="single" w:sz="4" w:space="0" w:color="333333"/>
            </w:tcBorders>
            <w:shd w:val="clear" w:color="auto" w:fill="auto"/>
            <w:noWrap/>
            <w:vAlign w:val="center"/>
          </w:tcPr>
          <w:p w14:paraId="2FA58822" w14:textId="33D9E3B1" w:rsidR="00CE3A46" w:rsidRPr="00D076AD" w:rsidRDefault="00CE3A46" w:rsidP="00CE3A46">
            <w:pPr>
              <w:spacing w:after="0"/>
              <w:rPr>
                <w:rFonts w:eastAsia="Times New Roman"/>
                <w:color w:val="auto"/>
                <w:lang w:eastAsia="en-AU"/>
              </w:rPr>
            </w:pPr>
            <w:r w:rsidRPr="00D076AD">
              <w:rPr>
                <w:color w:val="auto"/>
              </w:rPr>
              <w:t>12.7</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7C6445A8" w14:textId="3CCC59F9" w:rsidR="00CE3A46" w:rsidRPr="00D076AD" w:rsidRDefault="00CE3A46" w:rsidP="00CE3A46">
            <w:pPr>
              <w:spacing w:after="0"/>
              <w:jc w:val="center"/>
              <w:rPr>
                <w:rFonts w:eastAsia="Times New Roman"/>
                <w:color w:val="auto"/>
                <w:lang w:eastAsia="en-AU"/>
              </w:rPr>
            </w:pPr>
            <w:r w:rsidRPr="00D076AD">
              <w:rPr>
                <w:color w:val="auto"/>
              </w:rPr>
              <w:t>3.3</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2DD13EE9" w14:textId="6C3C203E" w:rsidR="00CE3A46" w:rsidRPr="00D076AD" w:rsidRDefault="00CE3A46" w:rsidP="00CE3A46">
            <w:pPr>
              <w:spacing w:after="0"/>
              <w:jc w:val="center"/>
              <w:rPr>
                <w:rFonts w:eastAsia="Times New Roman"/>
                <w:color w:val="auto"/>
                <w:lang w:eastAsia="en-AU"/>
              </w:rPr>
            </w:pPr>
            <w:r w:rsidRPr="00D076AD">
              <w:rPr>
                <w:color w:val="auto"/>
              </w:rPr>
              <w:t>3.9</w:t>
            </w:r>
          </w:p>
        </w:tc>
        <w:tc>
          <w:tcPr>
            <w:tcW w:w="992" w:type="dxa"/>
            <w:tcBorders>
              <w:top w:val="single" w:sz="4" w:space="0" w:color="333333"/>
              <w:left w:val="nil"/>
              <w:bottom w:val="single" w:sz="4" w:space="0" w:color="333333"/>
              <w:right w:val="single" w:sz="4" w:space="0" w:color="333333"/>
            </w:tcBorders>
            <w:shd w:val="clear" w:color="auto" w:fill="auto"/>
            <w:noWrap/>
          </w:tcPr>
          <w:p w14:paraId="454E6F00" w14:textId="7852888C" w:rsidR="00CE3A46" w:rsidRPr="00CE3A46" w:rsidRDefault="00CE3A46" w:rsidP="00CE3A46">
            <w:pPr>
              <w:spacing w:after="0"/>
              <w:jc w:val="center"/>
              <w:rPr>
                <w:color w:val="auto"/>
              </w:rPr>
            </w:pPr>
            <w:r w:rsidRPr="00CE3A46">
              <w:rPr>
                <w:color w:val="auto"/>
              </w:rPr>
              <w:t>4.4</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6D052498" w14:textId="6211C0CB" w:rsidR="00CE3A46" w:rsidRPr="00CE3A46" w:rsidRDefault="00CE3A46" w:rsidP="00CE3A46">
            <w:pPr>
              <w:spacing w:after="0"/>
              <w:jc w:val="center"/>
              <w:rPr>
                <w:color w:val="auto"/>
              </w:rPr>
            </w:pPr>
            <w:r w:rsidRPr="00CE3A46">
              <w:rPr>
                <w:color w:val="auto"/>
              </w:rPr>
              <w:t>2.2</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7959D400" w14:textId="45B70464" w:rsidR="00CE3A46" w:rsidRPr="00CE3A46" w:rsidRDefault="00CE3A46" w:rsidP="00CE3A46">
            <w:pPr>
              <w:spacing w:after="0"/>
              <w:jc w:val="center"/>
              <w:rPr>
                <w:color w:val="auto"/>
              </w:rPr>
            </w:pPr>
            <w:r w:rsidRPr="00CE3A46">
              <w:rPr>
                <w:color w:val="auto"/>
              </w:rPr>
              <w:t>2.6</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0626FCB7" w14:textId="6BA0108B" w:rsidR="00CE3A46" w:rsidRPr="00CE3A46" w:rsidRDefault="00CE3A46" w:rsidP="00CE3A46">
            <w:pPr>
              <w:spacing w:after="0"/>
              <w:jc w:val="center"/>
              <w:rPr>
                <w:color w:val="auto"/>
              </w:rPr>
            </w:pPr>
            <w:r w:rsidRPr="00CE3A46">
              <w:rPr>
                <w:color w:val="auto"/>
              </w:rPr>
              <w:t>4.0</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20B99D92" w14:textId="149204F4" w:rsidR="00CE3A46" w:rsidRPr="00CE3A46" w:rsidRDefault="00CE3A46" w:rsidP="00CE3A46">
            <w:pPr>
              <w:spacing w:after="0"/>
              <w:jc w:val="center"/>
              <w:rPr>
                <w:color w:val="auto"/>
              </w:rPr>
            </w:pPr>
            <w:r w:rsidRPr="00CE3A46">
              <w:rPr>
                <w:color w:val="auto"/>
              </w:rPr>
              <w:t>2.2</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0BDEC083" w14:textId="3B91299B"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7B8C063A" w14:textId="5883C290" w:rsidR="00CE3A46" w:rsidRPr="00CE3A46" w:rsidRDefault="00CE3A46" w:rsidP="00CE3A46">
            <w:pPr>
              <w:spacing w:after="0"/>
              <w:jc w:val="center"/>
              <w:rPr>
                <w:color w:val="auto"/>
              </w:rPr>
            </w:pPr>
            <w:r w:rsidRPr="00CE3A46">
              <w:rPr>
                <w:color w:val="auto"/>
              </w:rPr>
              <w:t>2.6</w:t>
            </w:r>
          </w:p>
        </w:tc>
        <w:tc>
          <w:tcPr>
            <w:tcW w:w="239" w:type="dxa"/>
            <w:shd w:val="clear" w:color="auto" w:fill="auto"/>
            <w:vAlign w:val="center"/>
            <w:hideMark/>
          </w:tcPr>
          <w:p w14:paraId="45D7D874"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38FCDEAE"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C5BE4C9" w14:textId="2052A5F8" w:rsidR="00CE3A46" w:rsidRPr="00D076AD" w:rsidRDefault="00CE3A46" w:rsidP="00CE3A46">
            <w:pPr>
              <w:spacing w:after="0"/>
              <w:rPr>
                <w:rFonts w:eastAsia="Times New Roman"/>
                <w:color w:val="auto"/>
                <w:lang w:eastAsia="en-AU"/>
              </w:rPr>
            </w:pPr>
            <w:r w:rsidRPr="00D076AD">
              <w:rPr>
                <w:color w:val="auto"/>
              </w:rPr>
              <w:t>Kiribati</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0A3407EA" w14:textId="6D936F0B" w:rsidR="00CE3A46" w:rsidRPr="00D076AD" w:rsidRDefault="00CE3A46" w:rsidP="00CE3A46">
            <w:pPr>
              <w:spacing w:after="0"/>
              <w:rPr>
                <w:color w:val="auto"/>
              </w:rPr>
            </w:pPr>
            <w:r w:rsidRPr="00D076AD">
              <w:rPr>
                <w:color w:val="auto"/>
              </w:rPr>
              <w:t>Very high</w:t>
            </w:r>
          </w:p>
        </w:tc>
        <w:tc>
          <w:tcPr>
            <w:tcW w:w="709" w:type="dxa"/>
            <w:tcBorders>
              <w:top w:val="nil"/>
              <w:left w:val="nil"/>
              <w:bottom w:val="single" w:sz="4" w:space="0" w:color="333333"/>
              <w:right w:val="single" w:sz="4" w:space="0" w:color="333333"/>
            </w:tcBorders>
            <w:shd w:val="clear" w:color="auto" w:fill="auto"/>
            <w:noWrap/>
            <w:vAlign w:val="center"/>
          </w:tcPr>
          <w:p w14:paraId="59674852" w14:textId="4EFC487C" w:rsidR="00CE3A46" w:rsidRPr="00D076AD" w:rsidRDefault="00CE3A46" w:rsidP="00CE3A46">
            <w:pPr>
              <w:spacing w:after="0"/>
              <w:rPr>
                <w:rFonts w:eastAsia="Times New Roman"/>
                <w:color w:val="auto"/>
                <w:lang w:eastAsia="en-AU"/>
              </w:rPr>
            </w:pPr>
            <w:r w:rsidRPr="00D076AD">
              <w:rPr>
                <w:color w:val="auto"/>
              </w:rPr>
              <w:t>12.7</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6A4E6806" w14:textId="1BA085DB" w:rsidR="00CE3A46" w:rsidRPr="00D076AD" w:rsidRDefault="00CE3A46" w:rsidP="00CE3A46">
            <w:pPr>
              <w:spacing w:after="0"/>
              <w:jc w:val="center"/>
              <w:rPr>
                <w:rFonts w:eastAsia="Times New Roman"/>
                <w:color w:val="auto"/>
                <w:lang w:eastAsia="en-AU"/>
              </w:rPr>
            </w:pPr>
            <w:r w:rsidRPr="00D076AD">
              <w:rPr>
                <w:color w:val="auto"/>
              </w:rPr>
              <w:t>3.0</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5CF9A025" w14:textId="2E9C9A42" w:rsidR="00CE3A46" w:rsidRPr="00D076AD" w:rsidRDefault="00CE3A46" w:rsidP="00CE3A46">
            <w:pPr>
              <w:spacing w:after="0"/>
              <w:jc w:val="center"/>
              <w:rPr>
                <w:rFonts w:eastAsia="Times New Roman"/>
                <w:color w:val="auto"/>
                <w:lang w:eastAsia="en-AU"/>
              </w:rPr>
            </w:pPr>
            <w:r w:rsidRPr="00D076AD">
              <w:rPr>
                <w:color w:val="auto"/>
              </w:rPr>
              <w:t>4.3</w:t>
            </w:r>
          </w:p>
        </w:tc>
        <w:tc>
          <w:tcPr>
            <w:tcW w:w="992" w:type="dxa"/>
            <w:tcBorders>
              <w:top w:val="single" w:sz="4" w:space="0" w:color="333333"/>
              <w:left w:val="nil"/>
              <w:bottom w:val="single" w:sz="4" w:space="0" w:color="333333"/>
              <w:right w:val="single" w:sz="4" w:space="0" w:color="333333"/>
            </w:tcBorders>
            <w:shd w:val="clear" w:color="auto" w:fill="auto"/>
            <w:noWrap/>
          </w:tcPr>
          <w:p w14:paraId="58783A98" w14:textId="18B25987" w:rsidR="00CE3A46" w:rsidRPr="00CE3A46" w:rsidRDefault="00CE3A46" w:rsidP="00CE3A46">
            <w:pPr>
              <w:spacing w:after="0"/>
              <w:jc w:val="center"/>
              <w:rPr>
                <w:color w:val="auto"/>
              </w:rPr>
            </w:pPr>
            <w:r w:rsidRPr="00CE3A46">
              <w:rPr>
                <w:color w:val="auto"/>
              </w:rPr>
              <w:t>1.3</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176CAD11" w14:textId="54B7227B" w:rsidR="00CE3A46" w:rsidRPr="00CE3A46" w:rsidRDefault="00CE3A46" w:rsidP="00CE3A46">
            <w:pPr>
              <w:spacing w:after="0"/>
              <w:jc w:val="center"/>
              <w:rPr>
                <w:color w:val="auto"/>
              </w:rPr>
            </w:pPr>
            <w:r w:rsidRPr="00CE3A46">
              <w:rPr>
                <w:color w:val="auto"/>
              </w:rPr>
              <w:t>4.6</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3F382278" w14:textId="3239A786" w:rsidR="00CE3A46" w:rsidRPr="00CE3A46" w:rsidRDefault="00CE3A46" w:rsidP="00CE3A46">
            <w:pPr>
              <w:spacing w:after="0"/>
              <w:jc w:val="center"/>
              <w:rPr>
                <w:color w:val="auto"/>
              </w:rPr>
            </w:pPr>
            <w:r w:rsidRPr="00CE3A46">
              <w:rPr>
                <w:color w:val="auto"/>
              </w:rPr>
              <w:t>4.7</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678F1F65" w14:textId="6E513F25" w:rsidR="00CE3A46" w:rsidRPr="00CE3A46" w:rsidRDefault="00CE3A46" w:rsidP="00CE3A46">
            <w:pPr>
              <w:spacing w:after="0"/>
              <w:jc w:val="center"/>
              <w:rPr>
                <w:color w:val="auto"/>
              </w:rPr>
            </w:pPr>
            <w:r w:rsidRPr="00CE3A46">
              <w:rPr>
                <w:color w:val="auto"/>
              </w:rPr>
              <w:t>4.6</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78B462AB" w14:textId="4BDD012C" w:rsidR="00CE3A46" w:rsidRPr="00CE3A46" w:rsidRDefault="00CE3A46" w:rsidP="00CE3A46">
            <w:pPr>
              <w:spacing w:after="0"/>
              <w:jc w:val="center"/>
              <w:rPr>
                <w:color w:val="auto"/>
              </w:rPr>
            </w:pPr>
            <w:r w:rsidRPr="00CE3A46">
              <w:rPr>
                <w:color w:val="auto"/>
              </w:rPr>
              <w:t>4.8</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3B3A396D" w14:textId="4BC6F786"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43B9D573" w14:textId="079652A1" w:rsidR="00CE3A46" w:rsidRPr="00CE3A46" w:rsidRDefault="00CE3A46" w:rsidP="00CE3A46">
            <w:pPr>
              <w:spacing w:after="0"/>
              <w:jc w:val="center"/>
              <w:rPr>
                <w:color w:val="auto"/>
              </w:rPr>
            </w:pPr>
            <w:r w:rsidRPr="00CE3A46">
              <w:rPr>
                <w:color w:val="auto"/>
              </w:rPr>
              <w:t>3.2</w:t>
            </w:r>
          </w:p>
        </w:tc>
        <w:tc>
          <w:tcPr>
            <w:tcW w:w="239" w:type="dxa"/>
            <w:shd w:val="clear" w:color="auto" w:fill="auto"/>
            <w:vAlign w:val="center"/>
            <w:hideMark/>
          </w:tcPr>
          <w:p w14:paraId="4B3E8839"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74051D35"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57F7893C" w14:textId="6803CC2F" w:rsidR="00CE3A46" w:rsidRPr="00D076AD" w:rsidRDefault="00CE3A46" w:rsidP="00CE3A46">
            <w:pPr>
              <w:spacing w:after="0"/>
              <w:rPr>
                <w:rFonts w:eastAsia="Times New Roman"/>
                <w:color w:val="auto"/>
                <w:lang w:eastAsia="en-AU"/>
              </w:rPr>
            </w:pPr>
            <w:r w:rsidRPr="00D076AD">
              <w:rPr>
                <w:color w:val="auto"/>
              </w:rPr>
              <w:t>Indonesia</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379EB955" w14:textId="5400BAE4" w:rsidR="00CE3A46" w:rsidRPr="00D076AD" w:rsidRDefault="00CE3A46" w:rsidP="00CE3A46">
            <w:pPr>
              <w:spacing w:after="0"/>
              <w:rPr>
                <w:color w:val="auto"/>
              </w:rPr>
            </w:pPr>
            <w:r w:rsidRPr="00D076AD">
              <w:rPr>
                <w:color w:val="auto"/>
              </w:rPr>
              <w:t>High</w:t>
            </w:r>
          </w:p>
        </w:tc>
        <w:tc>
          <w:tcPr>
            <w:tcW w:w="709" w:type="dxa"/>
            <w:tcBorders>
              <w:top w:val="nil"/>
              <w:left w:val="nil"/>
              <w:bottom w:val="single" w:sz="4" w:space="0" w:color="333333"/>
              <w:right w:val="single" w:sz="4" w:space="0" w:color="333333"/>
            </w:tcBorders>
            <w:shd w:val="clear" w:color="auto" w:fill="auto"/>
            <w:noWrap/>
            <w:vAlign w:val="center"/>
          </w:tcPr>
          <w:p w14:paraId="188F384B" w14:textId="38A01C57" w:rsidR="00CE3A46" w:rsidRPr="00D076AD" w:rsidRDefault="00CE3A46" w:rsidP="00CE3A46">
            <w:pPr>
              <w:spacing w:after="0"/>
              <w:rPr>
                <w:rFonts w:eastAsia="Times New Roman"/>
                <w:color w:val="auto"/>
                <w:lang w:eastAsia="en-AU"/>
              </w:rPr>
            </w:pPr>
            <w:r w:rsidRPr="00D076AD">
              <w:rPr>
                <w:color w:val="auto"/>
              </w:rPr>
              <w:t>12.2</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496F61F9" w14:textId="56326145" w:rsidR="00CE3A46" w:rsidRPr="00D076AD" w:rsidRDefault="00CE3A46" w:rsidP="00CE3A46">
            <w:pPr>
              <w:spacing w:after="0"/>
              <w:jc w:val="center"/>
              <w:rPr>
                <w:rFonts w:eastAsia="Times New Roman"/>
                <w:color w:val="auto"/>
                <w:lang w:eastAsia="en-AU"/>
              </w:rPr>
            </w:pPr>
            <w:r w:rsidRPr="00D076AD">
              <w:rPr>
                <w:color w:val="auto"/>
              </w:rPr>
              <w:t>3.0</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510E674C" w14:textId="25008B43" w:rsidR="00CE3A46" w:rsidRPr="00D076AD" w:rsidRDefault="00CE3A46" w:rsidP="00CE3A46">
            <w:pPr>
              <w:spacing w:after="0"/>
              <w:jc w:val="center"/>
              <w:rPr>
                <w:rFonts w:eastAsia="Times New Roman"/>
                <w:color w:val="auto"/>
                <w:lang w:eastAsia="en-AU"/>
              </w:rPr>
            </w:pPr>
            <w:r w:rsidRPr="00D076AD">
              <w:rPr>
                <w:color w:val="auto"/>
              </w:rPr>
              <w:t>4.1</w:t>
            </w:r>
          </w:p>
        </w:tc>
        <w:tc>
          <w:tcPr>
            <w:tcW w:w="992" w:type="dxa"/>
            <w:tcBorders>
              <w:top w:val="single" w:sz="4" w:space="0" w:color="333333"/>
              <w:left w:val="nil"/>
              <w:bottom w:val="single" w:sz="4" w:space="0" w:color="333333"/>
              <w:right w:val="single" w:sz="4" w:space="0" w:color="333333"/>
            </w:tcBorders>
            <w:shd w:val="clear" w:color="auto" w:fill="auto"/>
            <w:noWrap/>
          </w:tcPr>
          <w:p w14:paraId="2A1AC38C" w14:textId="0AEDEFFF" w:rsidR="00CE3A46" w:rsidRPr="00CE3A46" w:rsidRDefault="00CE3A46" w:rsidP="00CE3A46">
            <w:pPr>
              <w:spacing w:after="0"/>
              <w:jc w:val="center"/>
              <w:rPr>
                <w:color w:val="auto"/>
              </w:rPr>
            </w:pPr>
            <w:r w:rsidRPr="00CE3A46">
              <w:rPr>
                <w:color w:val="auto"/>
              </w:rPr>
              <w:t>2.8</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5FCCA015" w14:textId="183FADDA" w:rsidR="00CE3A46" w:rsidRPr="00CE3A46" w:rsidRDefault="00CE3A46" w:rsidP="00CE3A46">
            <w:pPr>
              <w:spacing w:after="0"/>
              <w:jc w:val="center"/>
              <w:rPr>
                <w:color w:val="auto"/>
              </w:rPr>
            </w:pPr>
            <w:r w:rsidRPr="00CE3A46">
              <w:rPr>
                <w:color w:val="auto"/>
              </w:rPr>
              <w:t>3.3</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482637BF" w14:textId="56FA0B65" w:rsidR="00CE3A46" w:rsidRPr="00CE3A46" w:rsidRDefault="00CE3A46" w:rsidP="00CE3A46">
            <w:pPr>
              <w:spacing w:after="0"/>
              <w:jc w:val="center"/>
              <w:rPr>
                <w:color w:val="auto"/>
              </w:rPr>
            </w:pPr>
            <w:r w:rsidRPr="00CE3A46">
              <w:rPr>
                <w:color w:val="auto"/>
              </w:rPr>
              <w:t>3.5</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7D35665C" w14:textId="38447E20" w:rsidR="00CE3A46" w:rsidRPr="00CE3A46" w:rsidRDefault="00CE3A46" w:rsidP="00CE3A46">
            <w:pPr>
              <w:spacing w:after="0"/>
              <w:jc w:val="center"/>
              <w:rPr>
                <w:color w:val="auto"/>
              </w:rPr>
            </w:pPr>
            <w:r w:rsidRPr="00CE3A46">
              <w:rPr>
                <w:color w:val="auto"/>
              </w:rPr>
              <w:t>4.4</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04A4DEAC" w14:textId="508A7DA0" w:rsidR="00CE3A46" w:rsidRPr="00CE3A46" w:rsidRDefault="00CE3A46" w:rsidP="00CE3A46">
            <w:pPr>
              <w:spacing w:after="0"/>
              <w:jc w:val="center"/>
              <w:rPr>
                <w:color w:val="auto"/>
              </w:rPr>
            </w:pPr>
            <w:r w:rsidRPr="00CE3A46">
              <w:rPr>
                <w:color w:val="auto"/>
              </w:rPr>
              <w:t>3.0</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43FF1AB7" w14:textId="2D9059E7"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2CB0BB18" w14:textId="44B8902F" w:rsidR="00CE3A46" w:rsidRPr="00CE3A46" w:rsidRDefault="00CE3A46" w:rsidP="00CE3A46">
            <w:pPr>
              <w:spacing w:after="0"/>
              <w:jc w:val="center"/>
              <w:rPr>
                <w:color w:val="auto"/>
              </w:rPr>
            </w:pPr>
            <w:r w:rsidRPr="00CE3A46">
              <w:rPr>
                <w:color w:val="auto"/>
              </w:rPr>
              <w:t>2.7</w:t>
            </w:r>
          </w:p>
        </w:tc>
        <w:tc>
          <w:tcPr>
            <w:tcW w:w="239" w:type="dxa"/>
            <w:shd w:val="clear" w:color="auto" w:fill="auto"/>
            <w:vAlign w:val="center"/>
            <w:hideMark/>
          </w:tcPr>
          <w:p w14:paraId="13064EAE"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05386C83"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33E7CB5" w14:textId="15F4F359" w:rsidR="00CE3A46" w:rsidRPr="00D076AD" w:rsidRDefault="00CE3A46" w:rsidP="00CE3A46">
            <w:pPr>
              <w:spacing w:after="0"/>
              <w:rPr>
                <w:rFonts w:eastAsia="Times New Roman"/>
                <w:color w:val="auto"/>
                <w:lang w:eastAsia="en-AU"/>
              </w:rPr>
            </w:pPr>
            <w:r w:rsidRPr="00D076AD">
              <w:rPr>
                <w:color w:val="auto"/>
              </w:rPr>
              <w:t>Tonga</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1F0099A2" w14:textId="141E6E10" w:rsidR="00CE3A46" w:rsidRPr="00D076AD" w:rsidRDefault="00CE3A46" w:rsidP="00CE3A46">
            <w:pPr>
              <w:spacing w:after="0"/>
              <w:rPr>
                <w:color w:val="auto"/>
              </w:rPr>
            </w:pPr>
            <w:r w:rsidRPr="00D076AD">
              <w:rPr>
                <w:color w:val="auto"/>
              </w:rPr>
              <w:t>High</w:t>
            </w:r>
          </w:p>
        </w:tc>
        <w:tc>
          <w:tcPr>
            <w:tcW w:w="709" w:type="dxa"/>
            <w:tcBorders>
              <w:top w:val="nil"/>
              <w:left w:val="nil"/>
              <w:bottom w:val="single" w:sz="4" w:space="0" w:color="333333"/>
              <w:right w:val="single" w:sz="4" w:space="0" w:color="333333"/>
            </w:tcBorders>
            <w:shd w:val="clear" w:color="auto" w:fill="auto"/>
            <w:noWrap/>
            <w:vAlign w:val="center"/>
          </w:tcPr>
          <w:p w14:paraId="71B7EEDC" w14:textId="02E8959C" w:rsidR="00CE3A46" w:rsidRPr="00D076AD" w:rsidRDefault="00CE3A46" w:rsidP="00CE3A46">
            <w:pPr>
              <w:spacing w:after="0"/>
              <w:rPr>
                <w:rFonts w:eastAsia="Times New Roman"/>
                <w:color w:val="auto"/>
                <w:lang w:eastAsia="en-AU"/>
              </w:rPr>
            </w:pPr>
            <w:r w:rsidRPr="00D076AD">
              <w:rPr>
                <w:color w:val="auto"/>
              </w:rPr>
              <w:t>11.2</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385360CA" w14:textId="7C08C15F" w:rsidR="00CE3A46" w:rsidRPr="00D076AD" w:rsidRDefault="00CE3A46" w:rsidP="00CE3A46">
            <w:pPr>
              <w:spacing w:after="0"/>
              <w:jc w:val="center"/>
              <w:rPr>
                <w:rFonts w:eastAsia="Times New Roman"/>
                <w:color w:val="auto"/>
                <w:lang w:eastAsia="en-AU"/>
              </w:rPr>
            </w:pPr>
            <w:r w:rsidRPr="00D076AD">
              <w:rPr>
                <w:color w:val="auto"/>
              </w:rPr>
              <w:t>2.6</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71B4EA64" w14:textId="575FF281" w:rsidR="00CE3A46" w:rsidRPr="00D076AD" w:rsidRDefault="00CE3A46" w:rsidP="00CE3A46">
            <w:pPr>
              <w:spacing w:after="0"/>
              <w:jc w:val="center"/>
              <w:rPr>
                <w:rFonts w:eastAsia="Times New Roman"/>
                <w:color w:val="auto"/>
                <w:lang w:eastAsia="en-AU"/>
              </w:rPr>
            </w:pPr>
            <w:r w:rsidRPr="00D076AD">
              <w:rPr>
                <w:color w:val="auto"/>
              </w:rPr>
              <w:t>4.3</w:t>
            </w:r>
          </w:p>
        </w:tc>
        <w:tc>
          <w:tcPr>
            <w:tcW w:w="992" w:type="dxa"/>
            <w:tcBorders>
              <w:top w:val="single" w:sz="4" w:space="0" w:color="333333"/>
              <w:left w:val="nil"/>
              <w:bottom w:val="single" w:sz="4" w:space="0" w:color="333333"/>
              <w:right w:val="single" w:sz="4" w:space="0" w:color="333333"/>
            </w:tcBorders>
            <w:shd w:val="clear" w:color="auto" w:fill="auto"/>
            <w:noWrap/>
          </w:tcPr>
          <w:p w14:paraId="056E0807" w14:textId="0E40F240" w:rsidR="00CE3A46" w:rsidRPr="00CE3A46" w:rsidRDefault="00CE3A46" w:rsidP="00CE3A46">
            <w:pPr>
              <w:spacing w:after="0"/>
              <w:jc w:val="center"/>
              <w:rPr>
                <w:color w:val="auto"/>
              </w:rPr>
            </w:pPr>
            <w:r w:rsidRPr="00CE3A46">
              <w:rPr>
                <w:color w:val="auto"/>
              </w:rPr>
              <w:t>1.8</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6936A758" w14:textId="72FC9434" w:rsidR="00CE3A46" w:rsidRPr="00CE3A46" w:rsidRDefault="00CE3A46" w:rsidP="00CE3A46">
            <w:pPr>
              <w:spacing w:after="0"/>
              <w:jc w:val="center"/>
              <w:rPr>
                <w:color w:val="auto"/>
              </w:rPr>
            </w:pPr>
            <w:r w:rsidRPr="00CE3A46">
              <w:rPr>
                <w:color w:val="auto"/>
              </w:rPr>
              <w:t>3.5</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70BEBAA6" w14:textId="3617D4AC" w:rsidR="00CE3A46" w:rsidRPr="00CE3A46" w:rsidRDefault="00CE3A46" w:rsidP="00CE3A46">
            <w:pPr>
              <w:spacing w:after="0"/>
              <w:jc w:val="center"/>
              <w:rPr>
                <w:color w:val="auto"/>
              </w:rPr>
            </w:pPr>
            <w:r w:rsidRPr="00CE3A46">
              <w:rPr>
                <w:color w:val="auto"/>
              </w:rPr>
              <w:t>3.2</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600B70C8" w14:textId="6F547EBF" w:rsidR="00CE3A46" w:rsidRPr="00CE3A46" w:rsidRDefault="00CE3A46" w:rsidP="00CE3A46">
            <w:pPr>
              <w:spacing w:after="0"/>
              <w:jc w:val="center"/>
              <w:rPr>
                <w:color w:val="auto"/>
              </w:rPr>
            </w:pPr>
            <w:r w:rsidRPr="00CE3A46">
              <w:rPr>
                <w:color w:val="auto"/>
              </w:rPr>
              <w:t>4.3</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31F299E0" w14:textId="6FC6AB3A" w:rsidR="00CE3A46" w:rsidRPr="00CE3A46" w:rsidRDefault="00CE3A46" w:rsidP="00CE3A46">
            <w:pPr>
              <w:spacing w:after="0"/>
              <w:jc w:val="center"/>
              <w:rPr>
                <w:color w:val="auto"/>
              </w:rPr>
            </w:pPr>
            <w:r w:rsidRPr="00CE3A46">
              <w:rPr>
                <w:color w:val="auto"/>
              </w:rPr>
              <w:t>4.1</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4305EB76" w14:textId="2E490174"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5526D379" w14:textId="69447D4D" w:rsidR="00CE3A46" w:rsidRPr="00CE3A46" w:rsidRDefault="00CE3A46" w:rsidP="00CE3A46">
            <w:pPr>
              <w:spacing w:after="0"/>
              <w:jc w:val="center"/>
              <w:rPr>
                <w:color w:val="auto"/>
              </w:rPr>
            </w:pPr>
            <w:r w:rsidRPr="00CE3A46">
              <w:rPr>
                <w:color w:val="auto"/>
              </w:rPr>
              <w:t>3.4</w:t>
            </w:r>
          </w:p>
        </w:tc>
        <w:tc>
          <w:tcPr>
            <w:tcW w:w="239" w:type="dxa"/>
            <w:shd w:val="clear" w:color="auto" w:fill="auto"/>
            <w:vAlign w:val="center"/>
            <w:hideMark/>
          </w:tcPr>
          <w:p w14:paraId="4D8BBF58"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591EFC6E"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60A79363" w14:textId="368DBA62" w:rsidR="00CE3A46" w:rsidRPr="00D076AD" w:rsidRDefault="00CE3A46" w:rsidP="00CE3A46">
            <w:pPr>
              <w:spacing w:after="0"/>
              <w:rPr>
                <w:rFonts w:eastAsia="Times New Roman"/>
                <w:color w:val="auto"/>
                <w:lang w:eastAsia="en-AU"/>
              </w:rPr>
            </w:pPr>
            <w:r w:rsidRPr="00D076AD">
              <w:rPr>
                <w:color w:val="auto"/>
              </w:rPr>
              <w:t>Tuvalu</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661F6385" w14:textId="6CD97EB9" w:rsidR="00CE3A46" w:rsidRPr="00D076AD" w:rsidRDefault="00CE3A46" w:rsidP="00CE3A46">
            <w:pPr>
              <w:spacing w:after="0"/>
              <w:rPr>
                <w:color w:val="auto"/>
              </w:rPr>
            </w:pPr>
            <w:r w:rsidRPr="00D076AD">
              <w:rPr>
                <w:color w:val="auto"/>
              </w:rPr>
              <w:t>High</w:t>
            </w:r>
          </w:p>
        </w:tc>
        <w:tc>
          <w:tcPr>
            <w:tcW w:w="709" w:type="dxa"/>
            <w:tcBorders>
              <w:top w:val="nil"/>
              <w:left w:val="nil"/>
              <w:bottom w:val="single" w:sz="4" w:space="0" w:color="333333"/>
              <w:right w:val="single" w:sz="4" w:space="0" w:color="333333"/>
            </w:tcBorders>
            <w:shd w:val="clear" w:color="auto" w:fill="auto"/>
            <w:noWrap/>
            <w:vAlign w:val="center"/>
          </w:tcPr>
          <w:p w14:paraId="66090F37" w14:textId="0EAC1661" w:rsidR="00CE3A46" w:rsidRPr="00D076AD" w:rsidRDefault="00CE3A46" w:rsidP="00CE3A46">
            <w:pPr>
              <w:spacing w:after="0"/>
              <w:rPr>
                <w:rFonts w:eastAsia="Times New Roman"/>
                <w:color w:val="auto"/>
                <w:lang w:eastAsia="en-AU"/>
              </w:rPr>
            </w:pPr>
            <w:r w:rsidRPr="00D076AD">
              <w:rPr>
                <w:color w:val="auto"/>
              </w:rPr>
              <w:t>10.9</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0499A905" w14:textId="7DD127CD" w:rsidR="00CE3A46" w:rsidRPr="00D076AD" w:rsidRDefault="00CE3A46" w:rsidP="00CE3A46">
            <w:pPr>
              <w:spacing w:after="0"/>
              <w:jc w:val="center"/>
              <w:rPr>
                <w:rFonts w:eastAsia="Times New Roman"/>
                <w:color w:val="auto"/>
                <w:lang w:eastAsia="en-AU"/>
              </w:rPr>
            </w:pPr>
            <w:r w:rsidRPr="00D076AD">
              <w:rPr>
                <w:color w:val="auto"/>
              </w:rPr>
              <w:t>2.5</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15F5D7D8" w14:textId="4058D841" w:rsidR="00CE3A46" w:rsidRPr="00D076AD" w:rsidRDefault="00CE3A46" w:rsidP="00CE3A46">
            <w:pPr>
              <w:spacing w:after="0"/>
              <w:jc w:val="center"/>
              <w:rPr>
                <w:rFonts w:eastAsia="Times New Roman"/>
                <w:color w:val="auto"/>
                <w:lang w:eastAsia="en-AU"/>
              </w:rPr>
            </w:pPr>
            <w:r w:rsidRPr="00D076AD">
              <w:rPr>
                <w:color w:val="auto"/>
              </w:rPr>
              <w:t>4.4</w:t>
            </w:r>
          </w:p>
        </w:tc>
        <w:tc>
          <w:tcPr>
            <w:tcW w:w="992" w:type="dxa"/>
            <w:tcBorders>
              <w:top w:val="single" w:sz="4" w:space="0" w:color="333333"/>
              <w:left w:val="nil"/>
              <w:bottom w:val="single" w:sz="4" w:space="0" w:color="333333"/>
              <w:right w:val="single" w:sz="4" w:space="0" w:color="333333"/>
            </w:tcBorders>
            <w:shd w:val="clear" w:color="auto" w:fill="auto"/>
            <w:noWrap/>
          </w:tcPr>
          <w:p w14:paraId="55D9436A" w14:textId="0D026B24" w:rsidR="00CE3A46" w:rsidRPr="00CE3A46" w:rsidRDefault="00CE3A46" w:rsidP="00CE3A46">
            <w:pPr>
              <w:spacing w:after="0"/>
              <w:jc w:val="center"/>
              <w:rPr>
                <w:color w:val="auto"/>
              </w:rPr>
            </w:pPr>
            <w:r w:rsidRPr="00CE3A46">
              <w:rPr>
                <w:color w:val="auto"/>
              </w:rPr>
              <w:t>1.0</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0AFC2BDA" w14:textId="76C4E1C3" w:rsidR="00CE3A46" w:rsidRPr="00CE3A46" w:rsidRDefault="00CE3A46" w:rsidP="00CE3A46">
            <w:pPr>
              <w:spacing w:after="0"/>
              <w:jc w:val="center"/>
              <w:rPr>
                <w:color w:val="auto"/>
              </w:rPr>
            </w:pPr>
            <w:r w:rsidRPr="00CE3A46">
              <w:rPr>
                <w:color w:val="auto"/>
              </w:rPr>
              <w:t>3.9</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072B04B8" w14:textId="3567CE5F" w:rsidR="00CE3A46" w:rsidRPr="00CE3A46" w:rsidRDefault="00CE3A46" w:rsidP="00CE3A46">
            <w:pPr>
              <w:spacing w:after="0"/>
              <w:jc w:val="center"/>
              <w:rPr>
                <w:color w:val="auto"/>
              </w:rPr>
            </w:pPr>
            <w:r w:rsidRPr="00CE3A46">
              <w:rPr>
                <w:color w:val="auto"/>
              </w:rPr>
              <w:t>3.9</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1860B501" w14:textId="39F7AAF5" w:rsidR="00CE3A46" w:rsidRPr="00CE3A46" w:rsidRDefault="00CE3A46" w:rsidP="00CE3A46">
            <w:pPr>
              <w:spacing w:after="0"/>
              <w:jc w:val="center"/>
              <w:rPr>
                <w:color w:val="auto"/>
              </w:rPr>
            </w:pPr>
            <w:r w:rsidRPr="00CE3A46">
              <w:rPr>
                <w:color w:val="auto"/>
              </w:rPr>
              <w:t>3.6</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510C96A4" w14:textId="09DB3644" w:rsidR="00CE3A46" w:rsidRPr="00CE3A46" w:rsidRDefault="00CE3A46" w:rsidP="00CE3A46">
            <w:pPr>
              <w:spacing w:after="0"/>
              <w:jc w:val="center"/>
              <w:rPr>
                <w:color w:val="auto"/>
              </w:rPr>
            </w:pPr>
            <w:r w:rsidRPr="00CE3A46">
              <w:rPr>
                <w:color w:val="auto"/>
              </w:rPr>
              <w:t>3.7</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6AFC0304" w14:textId="34DEFFE7"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610CB0CE" w14:textId="6CB91E2A" w:rsidR="00CE3A46" w:rsidRPr="00CE3A46" w:rsidRDefault="00CE3A46" w:rsidP="00CE3A46">
            <w:pPr>
              <w:spacing w:after="0"/>
              <w:jc w:val="center"/>
              <w:rPr>
                <w:color w:val="auto"/>
              </w:rPr>
            </w:pPr>
            <w:r w:rsidRPr="00CE3A46">
              <w:rPr>
                <w:color w:val="auto"/>
              </w:rPr>
              <w:t>4.7</w:t>
            </w:r>
          </w:p>
        </w:tc>
        <w:tc>
          <w:tcPr>
            <w:tcW w:w="239" w:type="dxa"/>
            <w:shd w:val="clear" w:color="auto" w:fill="auto"/>
            <w:vAlign w:val="center"/>
            <w:hideMark/>
          </w:tcPr>
          <w:p w14:paraId="3EE7AE85"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0F9D87E5"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14C6F92E" w14:textId="48470D23" w:rsidR="00CE3A46" w:rsidRPr="00D076AD" w:rsidRDefault="00CE3A46" w:rsidP="00CE3A46">
            <w:pPr>
              <w:spacing w:after="0"/>
              <w:rPr>
                <w:rFonts w:eastAsia="Times New Roman"/>
                <w:color w:val="auto"/>
                <w:lang w:eastAsia="en-AU"/>
              </w:rPr>
            </w:pPr>
            <w:r w:rsidRPr="00D076AD">
              <w:rPr>
                <w:color w:val="auto"/>
              </w:rPr>
              <w:t>Mongolia</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0D4FDD39" w14:textId="74A4F91D" w:rsidR="00CE3A46" w:rsidRPr="00D076AD" w:rsidRDefault="00CE3A46" w:rsidP="00CE3A46">
            <w:pPr>
              <w:spacing w:after="0"/>
              <w:rPr>
                <w:color w:val="auto"/>
              </w:rPr>
            </w:pPr>
            <w:r w:rsidRPr="00D076AD">
              <w:rPr>
                <w:color w:val="auto"/>
              </w:rPr>
              <w:t>High</w:t>
            </w:r>
          </w:p>
        </w:tc>
        <w:tc>
          <w:tcPr>
            <w:tcW w:w="709" w:type="dxa"/>
            <w:tcBorders>
              <w:top w:val="nil"/>
              <w:left w:val="nil"/>
              <w:bottom w:val="single" w:sz="4" w:space="0" w:color="333333"/>
              <w:right w:val="single" w:sz="4" w:space="0" w:color="333333"/>
            </w:tcBorders>
            <w:shd w:val="clear" w:color="auto" w:fill="auto"/>
            <w:noWrap/>
            <w:vAlign w:val="center"/>
          </w:tcPr>
          <w:p w14:paraId="5B708BDE" w14:textId="299DF788" w:rsidR="00CE3A46" w:rsidRPr="00D076AD" w:rsidRDefault="00CE3A46" w:rsidP="00CE3A46">
            <w:pPr>
              <w:spacing w:after="0"/>
              <w:rPr>
                <w:rFonts w:eastAsia="Times New Roman"/>
                <w:color w:val="auto"/>
                <w:lang w:eastAsia="en-AU"/>
              </w:rPr>
            </w:pPr>
            <w:r w:rsidRPr="00D076AD">
              <w:rPr>
                <w:color w:val="auto"/>
              </w:rPr>
              <w:t>10.5</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07B29D31" w14:textId="798EE917" w:rsidR="00CE3A46" w:rsidRPr="00D076AD" w:rsidRDefault="00CE3A46" w:rsidP="00CE3A46">
            <w:pPr>
              <w:spacing w:after="0"/>
              <w:jc w:val="center"/>
              <w:rPr>
                <w:rFonts w:eastAsia="Times New Roman"/>
                <w:color w:val="auto"/>
                <w:lang w:eastAsia="en-AU"/>
              </w:rPr>
            </w:pPr>
            <w:r w:rsidRPr="00D076AD">
              <w:rPr>
                <w:color w:val="auto"/>
              </w:rPr>
              <w:t>3.1</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6A451699" w14:textId="2BB49586" w:rsidR="00CE3A46" w:rsidRPr="00D076AD" w:rsidRDefault="00CE3A46" w:rsidP="00CE3A46">
            <w:pPr>
              <w:spacing w:after="0"/>
              <w:jc w:val="center"/>
              <w:rPr>
                <w:rFonts w:eastAsia="Times New Roman"/>
                <w:color w:val="auto"/>
                <w:lang w:eastAsia="en-AU"/>
              </w:rPr>
            </w:pPr>
            <w:r w:rsidRPr="00D076AD">
              <w:rPr>
                <w:color w:val="auto"/>
              </w:rPr>
              <w:t>3.4</w:t>
            </w:r>
          </w:p>
        </w:tc>
        <w:tc>
          <w:tcPr>
            <w:tcW w:w="992" w:type="dxa"/>
            <w:tcBorders>
              <w:top w:val="single" w:sz="4" w:space="0" w:color="333333"/>
              <w:left w:val="nil"/>
              <w:bottom w:val="single" w:sz="4" w:space="0" w:color="333333"/>
              <w:right w:val="single" w:sz="4" w:space="0" w:color="333333"/>
            </w:tcBorders>
            <w:shd w:val="clear" w:color="auto" w:fill="auto"/>
            <w:noWrap/>
          </w:tcPr>
          <w:p w14:paraId="2489B63C" w14:textId="36BBE4E5" w:rsidR="00CE3A46" w:rsidRPr="00CE3A46" w:rsidRDefault="00CE3A46" w:rsidP="00CE3A46">
            <w:pPr>
              <w:spacing w:after="0"/>
              <w:jc w:val="center"/>
              <w:rPr>
                <w:color w:val="auto"/>
              </w:rPr>
            </w:pPr>
            <w:r w:rsidRPr="00CE3A46">
              <w:rPr>
                <w:color w:val="auto"/>
              </w:rPr>
              <w:t>3.4</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5220CF46" w14:textId="4595684C" w:rsidR="00CE3A46" w:rsidRPr="00CE3A46" w:rsidRDefault="00CE3A46" w:rsidP="00CE3A46">
            <w:pPr>
              <w:spacing w:after="0"/>
              <w:jc w:val="center"/>
              <w:rPr>
                <w:color w:val="auto"/>
              </w:rPr>
            </w:pPr>
            <w:r w:rsidRPr="00CE3A46">
              <w:rPr>
                <w:color w:val="auto"/>
              </w:rPr>
              <w:t>2.8</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4FBC821A" w14:textId="15053376" w:rsidR="00CE3A46" w:rsidRPr="00CE3A46" w:rsidRDefault="00CE3A46" w:rsidP="00CE3A46">
            <w:pPr>
              <w:spacing w:after="0"/>
              <w:jc w:val="center"/>
              <w:rPr>
                <w:color w:val="auto"/>
              </w:rPr>
            </w:pPr>
            <w:r w:rsidRPr="00CE3A46">
              <w:rPr>
                <w:color w:val="auto"/>
              </w:rPr>
              <w:t>3.7</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0DD7F8D7" w14:textId="5B99D014" w:rsidR="00CE3A46" w:rsidRPr="00CE3A46" w:rsidRDefault="00CE3A46" w:rsidP="00CE3A46">
            <w:pPr>
              <w:spacing w:after="0"/>
              <w:jc w:val="center"/>
              <w:rPr>
                <w:color w:val="auto"/>
              </w:rPr>
            </w:pPr>
            <w:r w:rsidRPr="00CE3A46">
              <w:rPr>
                <w:color w:val="auto"/>
              </w:rPr>
              <w:t>2.0</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3171F7F8" w14:textId="7922AB84" w:rsidR="00CE3A46" w:rsidRPr="00CE3A46" w:rsidRDefault="00CE3A46" w:rsidP="00CE3A46">
            <w:pPr>
              <w:spacing w:after="0"/>
              <w:jc w:val="center"/>
              <w:rPr>
                <w:color w:val="auto"/>
              </w:rPr>
            </w:pPr>
            <w:r w:rsidRPr="00CE3A46">
              <w:rPr>
                <w:color w:val="auto"/>
              </w:rPr>
              <w:t>3.3</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7C42B0D8" w14:textId="194E8775"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258740D0" w14:textId="0328FE06" w:rsidR="00CE3A46" w:rsidRPr="00CE3A46" w:rsidRDefault="00CE3A46" w:rsidP="00CE3A46">
            <w:pPr>
              <w:spacing w:after="0"/>
              <w:jc w:val="center"/>
              <w:rPr>
                <w:color w:val="auto"/>
              </w:rPr>
            </w:pPr>
            <w:r w:rsidRPr="00CE3A46">
              <w:rPr>
                <w:color w:val="auto"/>
              </w:rPr>
              <w:t>3.1</w:t>
            </w:r>
          </w:p>
        </w:tc>
        <w:tc>
          <w:tcPr>
            <w:tcW w:w="239" w:type="dxa"/>
            <w:shd w:val="clear" w:color="auto" w:fill="auto"/>
            <w:vAlign w:val="center"/>
            <w:hideMark/>
          </w:tcPr>
          <w:p w14:paraId="50CE263B"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7BA0E494"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2973033B" w14:textId="06C1109C" w:rsidR="00CE3A46" w:rsidRPr="00D076AD" w:rsidRDefault="00CE3A46" w:rsidP="00CE3A46">
            <w:pPr>
              <w:spacing w:after="0"/>
              <w:rPr>
                <w:rFonts w:eastAsia="Times New Roman"/>
                <w:color w:val="auto"/>
                <w:lang w:eastAsia="en-AU"/>
              </w:rPr>
            </w:pPr>
            <w:r w:rsidRPr="00D076AD">
              <w:rPr>
                <w:color w:val="auto"/>
              </w:rPr>
              <w:t>Philippines</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644A79DA" w14:textId="7B829D71" w:rsidR="00CE3A46" w:rsidRPr="00D076AD" w:rsidRDefault="00CE3A46" w:rsidP="00CE3A46">
            <w:pPr>
              <w:spacing w:after="0"/>
              <w:rPr>
                <w:color w:val="auto"/>
              </w:rPr>
            </w:pPr>
            <w:r w:rsidRPr="00D076AD">
              <w:rPr>
                <w:color w:val="auto"/>
              </w:rPr>
              <w:t>High</w:t>
            </w:r>
          </w:p>
        </w:tc>
        <w:tc>
          <w:tcPr>
            <w:tcW w:w="709" w:type="dxa"/>
            <w:tcBorders>
              <w:top w:val="nil"/>
              <w:left w:val="nil"/>
              <w:bottom w:val="single" w:sz="4" w:space="0" w:color="333333"/>
              <w:right w:val="single" w:sz="4" w:space="0" w:color="333333"/>
            </w:tcBorders>
            <w:shd w:val="clear" w:color="auto" w:fill="auto"/>
            <w:noWrap/>
            <w:vAlign w:val="center"/>
          </w:tcPr>
          <w:p w14:paraId="541F2048" w14:textId="72621649" w:rsidR="00CE3A46" w:rsidRPr="00D076AD" w:rsidRDefault="00CE3A46" w:rsidP="00CE3A46">
            <w:pPr>
              <w:spacing w:after="0"/>
              <w:rPr>
                <w:rFonts w:eastAsia="Times New Roman"/>
                <w:color w:val="auto"/>
                <w:lang w:eastAsia="en-AU"/>
              </w:rPr>
            </w:pPr>
            <w:r w:rsidRPr="00D076AD">
              <w:rPr>
                <w:color w:val="auto"/>
              </w:rPr>
              <w:t>10.5</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49263F0D" w14:textId="23ADA1AD" w:rsidR="00CE3A46" w:rsidRPr="00D076AD" w:rsidRDefault="00CE3A46" w:rsidP="00CE3A46">
            <w:pPr>
              <w:spacing w:after="0"/>
              <w:jc w:val="center"/>
              <w:rPr>
                <w:rFonts w:eastAsia="Times New Roman"/>
                <w:color w:val="auto"/>
                <w:lang w:eastAsia="en-AU"/>
              </w:rPr>
            </w:pPr>
            <w:r w:rsidRPr="00D076AD">
              <w:rPr>
                <w:color w:val="auto"/>
              </w:rPr>
              <w:t>2.7</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5B4DA7D8" w14:textId="0B2DAFFC" w:rsidR="00CE3A46" w:rsidRPr="00D076AD" w:rsidRDefault="00CE3A46" w:rsidP="00CE3A46">
            <w:pPr>
              <w:spacing w:after="0"/>
              <w:jc w:val="center"/>
              <w:rPr>
                <w:rFonts w:eastAsia="Times New Roman"/>
                <w:color w:val="auto"/>
                <w:lang w:eastAsia="en-AU"/>
              </w:rPr>
            </w:pPr>
            <w:r w:rsidRPr="00D076AD">
              <w:rPr>
                <w:color w:val="auto"/>
              </w:rPr>
              <w:t>3.9</w:t>
            </w:r>
          </w:p>
        </w:tc>
        <w:tc>
          <w:tcPr>
            <w:tcW w:w="992" w:type="dxa"/>
            <w:tcBorders>
              <w:top w:val="single" w:sz="4" w:space="0" w:color="333333"/>
              <w:left w:val="nil"/>
              <w:bottom w:val="single" w:sz="4" w:space="0" w:color="333333"/>
              <w:right w:val="single" w:sz="4" w:space="0" w:color="333333"/>
            </w:tcBorders>
            <w:shd w:val="clear" w:color="auto" w:fill="auto"/>
            <w:noWrap/>
          </w:tcPr>
          <w:p w14:paraId="4E8C1A33" w14:textId="3442C48D" w:rsidR="00CE3A46" w:rsidRPr="00CE3A46" w:rsidRDefault="00CE3A46" w:rsidP="00CE3A46">
            <w:pPr>
              <w:spacing w:after="0"/>
              <w:jc w:val="center"/>
              <w:rPr>
                <w:color w:val="auto"/>
              </w:rPr>
            </w:pPr>
            <w:r w:rsidRPr="00CE3A46">
              <w:rPr>
                <w:color w:val="auto"/>
              </w:rPr>
              <w:t>2.6</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6FD5E486" w14:textId="10816DB9" w:rsidR="00CE3A46" w:rsidRPr="00CE3A46" w:rsidRDefault="00CE3A46" w:rsidP="00CE3A46">
            <w:pPr>
              <w:spacing w:after="0"/>
              <w:jc w:val="center"/>
              <w:rPr>
                <w:color w:val="auto"/>
              </w:rPr>
            </w:pPr>
            <w:r w:rsidRPr="00CE3A46">
              <w:rPr>
                <w:color w:val="auto"/>
              </w:rPr>
              <w:t>2.7</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7BACEC40" w14:textId="4D15DD58" w:rsidR="00CE3A46" w:rsidRPr="00CE3A46" w:rsidRDefault="00CE3A46" w:rsidP="00CE3A46">
            <w:pPr>
              <w:spacing w:after="0"/>
              <w:jc w:val="center"/>
              <w:rPr>
                <w:color w:val="auto"/>
              </w:rPr>
            </w:pPr>
            <w:r w:rsidRPr="00CE3A46">
              <w:rPr>
                <w:color w:val="auto"/>
              </w:rPr>
              <w:t>2.7</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33F051F4" w14:textId="6013AC4E" w:rsidR="00CE3A46" w:rsidRPr="00CE3A46" w:rsidRDefault="00CE3A46" w:rsidP="00CE3A46">
            <w:pPr>
              <w:spacing w:after="0"/>
              <w:jc w:val="center"/>
              <w:rPr>
                <w:color w:val="auto"/>
              </w:rPr>
            </w:pPr>
            <w:r w:rsidRPr="00CE3A46">
              <w:rPr>
                <w:color w:val="auto"/>
              </w:rPr>
              <w:t>4.1</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2584DD7A" w14:textId="662061E2" w:rsidR="00CE3A46" w:rsidRPr="00CE3A46" w:rsidRDefault="00CE3A46" w:rsidP="00CE3A46">
            <w:pPr>
              <w:spacing w:after="0"/>
              <w:jc w:val="center"/>
              <w:rPr>
                <w:color w:val="auto"/>
              </w:rPr>
            </w:pPr>
            <w:r w:rsidRPr="00CE3A46">
              <w:rPr>
                <w:color w:val="auto"/>
              </w:rPr>
              <w:t>3.5</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75315102" w14:textId="609610A2"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7FFDA2B3" w14:textId="0EDA905E" w:rsidR="00CE3A46" w:rsidRPr="00CE3A46" w:rsidRDefault="00CE3A46" w:rsidP="00CE3A46">
            <w:pPr>
              <w:spacing w:after="0"/>
              <w:jc w:val="center"/>
              <w:rPr>
                <w:color w:val="auto"/>
              </w:rPr>
            </w:pPr>
            <w:r w:rsidRPr="00CE3A46">
              <w:rPr>
                <w:color w:val="auto"/>
              </w:rPr>
              <w:t>2.6</w:t>
            </w:r>
          </w:p>
        </w:tc>
        <w:tc>
          <w:tcPr>
            <w:tcW w:w="239" w:type="dxa"/>
            <w:shd w:val="clear" w:color="auto" w:fill="auto"/>
            <w:vAlign w:val="center"/>
            <w:hideMark/>
          </w:tcPr>
          <w:p w14:paraId="4057994D"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16ACCE46"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666DF826" w14:textId="16243328" w:rsidR="00CE3A46" w:rsidRPr="00D076AD" w:rsidRDefault="00CE3A46" w:rsidP="00CE3A46">
            <w:pPr>
              <w:spacing w:after="0"/>
              <w:rPr>
                <w:rFonts w:eastAsia="Times New Roman"/>
                <w:color w:val="auto"/>
                <w:lang w:eastAsia="en-AU"/>
              </w:rPr>
            </w:pPr>
            <w:r w:rsidRPr="00D076AD">
              <w:rPr>
                <w:color w:val="auto"/>
              </w:rPr>
              <w:t>Viet Nam</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3D4BBB22" w14:textId="406548D9" w:rsidR="00CE3A46" w:rsidRPr="00D076AD" w:rsidRDefault="00CE3A46" w:rsidP="00CE3A46">
            <w:pPr>
              <w:spacing w:after="0"/>
              <w:rPr>
                <w:color w:val="auto"/>
              </w:rPr>
            </w:pPr>
            <w:r w:rsidRPr="00D076AD">
              <w:rPr>
                <w:color w:val="auto"/>
              </w:rPr>
              <w:t>High</w:t>
            </w:r>
          </w:p>
        </w:tc>
        <w:tc>
          <w:tcPr>
            <w:tcW w:w="709" w:type="dxa"/>
            <w:tcBorders>
              <w:top w:val="nil"/>
              <w:left w:val="nil"/>
              <w:bottom w:val="single" w:sz="4" w:space="0" w:color="333333"/>
              <w:right w:val="single" w:sz="4" w:space="0" w:color="333333"/>
            </w:tcBorders>
            <w:shd w:val="clear" w:color="auto" w:fill="auto"/>
            <w:noWrap/>
            <w:vAlign w:val="center"/>
          </w:tcPr>
          <w:p w14:paraId="5737FAE1" w14:textId="45C304EE" w:rsidR="00CE3A46" w:rsidRPr="00D076AD" w:rsidRDefault="00CE3A46" w:rsidP="00CE3A46">
            <w:pPr>
              <w:spacing w:after="0"/>
              <w:rPr>
                <w:rFonts w:eastAsia="Times New Roman"/>
                <w:color w:val="auto"/>
                <w:lang w:eastAsia="en-AU"/>
              </w:rPr>
            </w:pPr>
            <w:r w:rsidRPr="00D076AD">
              <w:rPr>
                <w:color w:val="auto"/>
              </w:rPr>
              <w:t>10.4</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19A07CD5" w14:textId="69E144F9" w:rsidR="00CE3A46" w:rsidRPr="00D076AD" w:rsidRDefault="00CE3A46" w:rsidP="00CE3A46">
            <w:pPr>
              <w:spacing w:after="0"/>
              <w:jc w:val="center"/>
              <w:rPr>
                <w:rFonts w:eastAsia="Times New Roman"/>
                <w:color w:val="auto"/>
                <w:lang w:eastAsia="en-AU"/>
              </w:rPr>
            </w:pPr>
            <w:r w:rsidRPr="00D076AD">
              <w:rPr>
                <w:color w:val="auto"/>
              </w:rPr>
              <w:t>2.8</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3CE1AADB" w14:textId="1DD341F0" w:rsidR="00CE3A46" w:rsidRPr="00D076AD" w:rsidRDefault="00CE3A46" w:rsidP="00CE3A46">
            <w:pPr>
              <w:spacing w:after="0"/>
              <w:jc w:val="center"/>
              <w:rPr>
                <w:rFonts w:eastAsia="Times New Roman"/>
                <w:color w:val="auto"/>
                <w:lang w:eastAsia="en-AU"/>
              </w:rPr>
            </w:pPr>
            <w:r w:rsidRPr="00D076AD">
              <w:rPr>
                <w:color w:val="auto"/>
              </w:rPr>
              <w:t>3.7</w:t>
            </w:r>
          </w:p>
        </w:tc>
        <w:tc>
          <w:tcPr>
            <w:tcW w:w="992" w:type="dxa"/>
            <w:tcBorders>
              <w:top w:val="single" w:sz="4" w:space="0" w:color="333333"/>
              <w:left w:val="nil"/>
              <w:bottom w:val="single" w:sz="4" w:space="0" w:color="333333"/>
              <w:right w:val="single" w:sz="4" w:space="0" w:color="333333"/>
            </w:tcBorders>
            <w:shd w:val="clear" w:color="auto" w:fill="auto"/>
            <w:noWrap/>
          </w:tcPr>
          <w:p w14:paraId="7E8C61D2" w14:textId="6275EE3F" w:rsidR="00CE3A46" w:rsidRPr="00CE3A46" w:rsidRDefault="00CE3A46" w:rsidP="00CE3A46">
            <w:pPr>
              <w:spacing w:after="0"/>
              <w:jc w:val="center"/>
              <w:rPr>
                <w:color w:val="auto"/>
              </w:rPr>
            </w:pPr>
            <w:r w:rsidRPr="00CE3A46">
              <w:rPr>
                <w:color w:val="auto"/>
              </w:rPr>
              <w:t>3.5</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6A91A9E0" w14:textId="337CE661" w:rsidR="00CE3A46" w:rsidRPr="00CE3A46" w:rsidRDefault="00CE3A46" w:rsidP="00CE3A46">
            <w:pPr>
              <w:spacing w:after="0"/>
              <w:jc w:val="center"/>
              <w:rPr>
                <w:color w:val="auto"/>
              </w:rPr>
            </w:pPr>
            <w:r w:rsidRPr="00CE3A46">
              <w:rPr>
                <w:color w:val="auto"/>
              </w:rPr>
              <w:t>2.2</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712EE87D" w14:textId="415FA044" w:rsidR="00CE3A46" w:rsidRPr="00CE3A46" w:rsidRDefault="00CE3A46" w:rsidP="00CE3A46">
            <w:pPr>
              <w:spacing w:after="0"/>
              <w:jc w:val="center"/>
              <w:rPr>
                <w:color w:val="auto"/>
              </w:rPr>
            </w:pPr>
            <w:r w:rsidRPr="00CE3A46">
              <w:rPr>
                <w:color w:val="auto"/>
              </w:rPr>
              <w:t>2.3</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2F99F5C1" w14:textId="2ABDED58" w:rsidR="00CE3A46" w:rsidRPr="00CE3A46" w:rsidRDefault="00CE3A46" w:rsidP="00CE3A46">
            <w:pPr>
              <w:spacing w:after="0"/>
              <w:jc w:val="center"/>
              <w:rPr>
                <w:color w:val="auto"/>
              </w:rPr>
            </w:pPr>
            <w:r w:rsidRPr="00CE3A46">
              <w:rPr>
                <w:color w:val="auto"/>
              </w:rPr>
              <w:t>3.0</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4075A7C8" w14:textId="66F32034" w:rsidR="00CE3A46" w:rsidRPr="00CE3A46" w:rsidRDefault="00CE3A46" w:rsidP="00CE3A46">
            <w:pPr>
              <w:spacing w:after="0"/>
              <w:jc w:val="center"/>
              <w:rPr>
                <w:color w:val="auto"/>
              </w:rPr>
            </w:pPr>
            <w:r w:rsidRPr="00CE3A46">
              <w:rPr>
                <w:color w:val="auto"/>
              </w:rPr>
              <w:t>2.9</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7CB2861C" w14:textId="3744F76E"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67CFD3EF" w14:textId="69458AE2" w:rsidR="00CE3A46" w:rsidRPr="00CE3A46" w:rsidRDefault="00CE3A46" w:rsidP="00CE3A46">
            <w:pPr>
              <w:spacing w:after="0"/>
              <w:jc w:val="center"/>
              <w:rPr>
                <w:color w:val="auto"/>
              </w:rPr>
            </w:pPr>
            <w:r w:rsidRPr="00CE3A46">
              <w:rPr>
                <w:color w:val="auto"/>
              </w:rPr>
              <w:t>3.0</w:t>
            </w:r>
          </w:p>
        </w:tc>
        <w:tc>
          <w:tcPr>
            <w:tcW w:w="239" w:type="dxa"/>
            <w:shd w:val="clear" w:color="auto" w:fill="auto"/>
            <w:vAlign w:val="center"/>
            <w:hideMark/>
          </w:tcPr>
          <w:p w14:paraId="2B026A17"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7F79D194"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7E7205B4" w14:textId="603454F3" w:rsidR="00CE3A46" w:rsidRPr="00D076AD" w:rsidRDefault="00CE3A46" w:rsidP="00CE3A46">
            <w:pPr>
              <w:spacing w:after="0"/>
              <w:rPr>
                <w:rFonts w:eastAsia="Times New Roman"/>
                <w:color w:val="auto"/>
                <w:lang w:eastAsia="en-AU"/>
              </w:rPr>
            </w:pPr>
            <w:r w:rsidRPr="00D076AD">
              <w:rPr>
                <w:color w:val="auto"/>
              </w:rPr>
              <w:t>Sri Lanka</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2613089E" w14:textId="11337439" w:rsidR="00CE3A46" w:rsidRPr="00D076AD" w:rsidRDefault="00CE3A46" w:rsidP="00CE3A46">
            <w:pPr>
              <w:spacing w:after="0"/>
              <w:rPr>
                <w:color w:val="auto"/>
              </w:rPr>
            </w:pPr>
            <w:r w:rsidRPr="00D076AD">
              <w:rPr>
                <w:color w:val="auto"/>
              </w:rPr>
              <w:t>High</w:t>
            </w:r>
          </w:p>
        </w:tc>
        <w:tc>
          <w:tcPr>
            <w:tcW w:w="709" w:type="dxa"/>
            <w:tcBorders>
              <w:top w:val="nil"/>
              <w:left w:val="nil"/>
              <w:bottom w:val="single" w:sz="4" w:space="0" w:color="333333"/>
              <w:right w:val="single" w:sz="4" w:space="0" w:color="333333"/>
            </w:tcBorders>
            <w:shd w:val="clear" w:color="auto" w:fill="auto"/>
            <w:noWrap/>
            <w:vAlign w:val="center"/>
          </w:tcPr>
          <w:p w14:paraId="40455AB4" w14:textId="2190FEB1" w:rsidR="00CE3A46" w:rsidRPr="00D076AD" w:rsidRDefault="00CE3A46" w:rsidP="00CE3A46">
            <w:pPr>
              <w:spacing w:after="0"/>
              <w:rPr>
                <w:rFonts w:eastAsia="Times New Roman"/>
                <w:color w:val="auto"/>
                <w:lang w:eastAsia="en-AU"/>
              </w:rPr>
            </w:pPr>
            <w:r w:rsidRPr="00D076AD">
              <w:rPr>
                <w:color w:val="auto"/>
              </w:rPr>
              <w:t>10.3</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3FB587DA" w14:textId="38009022" w:rsidR="00CE3A46" w:rsidRPr="00D076AD" w:rsidRDefault="00CE3A46" w:rsidP="00CE3A46">
            <w:pPr>
              <w:spacing w:after="0"/>
              <w:jc w:val="center"/>
              <w:rPr>
                <w:rFonts w:eastAsia="Times New Roman"/>
                <w:color w:val="auto"/>
                <w:lang w:eastAsia="en-AU"/>
              </w:rPr>
            </w:pPr>
            <w:r w:rsidRPr="00D076AD">
              <w:rPr>
                <w:color w:val="auto"/>
              </w:rPr>
              <w:t>2.7</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32299595" w14:textId="6A100875" w:rsidR="00CE3A46" w:rsidRPr="00D076AD" w:rsidRDefault="00CE3A46" w:rsidP="00CE3A46">
            <w:pPr>
              <w:spacing w:after="0"/>
              <w:jc w:val="center"/>
              <w:rPr>
                <w:rFonts w:eastAsia="Times New Roman"/>
                <w:color w:val="auto"/>
                <w:lang w:eastAsia="en-AU"/>
              </w:rPr>
            </w:pPr>
            <w:r w:rsidRPr="00D076AD">
              <w:rPr>
                <w:color w:val="auto"/>
              </w:rPr>
              <w:t>3.8</w:t>
            </w:r>
          </w:p>
        </w:tc>
        <w:tc>
          <w:tcPr>
            <w:tcW w:w="992" w:type="dxa"/>
            <w:tcBorders>
              <w:top w:val="single" w:sz="4" w:space="0" w:color="333333"/>
              <w:left w:val="nil"/>
              <w:bottom w:val="single" w:sz="4" w:space="0" w:color="333333"/>
              <w:right w:val="single" w:sz="4" w:space="0" w:color="333333"/>
            </w:tcBorders>
            <w:shd w:val="clear" w:color="auto" w:fill="auto"/>
            <w:noWrap/>
          </w:tcPr>
          <w:p w14:paraId="6BDEE4D9" w14:textId="609AAF87" w:rsidR="00CE3A46" w:rsidRPr="00CE3A46" w:rsidRDefault="00CE3A46" w:rsidP="00CE3A46">
            <w:pPr>
              <w:spacing w:after="0"/>
              <w:jc w:val="center"/>
              <w:rPr>
                <w:color w:val="auto"/>
              </w:rPr>
            </w:pPr>
            <w:r w:rsidRPr="00CE3A46">
              <w:rPr>
                <w:color w:val="auto"/>
              </w:rPr>
              <w:t>2.8</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60FE42C8" w14:textId="016BE5C1" w:rsidR="00CE3A46" w:rsidRPr="00CE3A46" w:rsidRDefault="00CE3A46" w:rsidP="00CE3A46">
            <w:pPr>
              <w:spacing w:after="0"/>
              <w:jc w:val="center"/>
              <w:rPr>
                <w:color w:val="auto"/>
              </w:rPr>
            </w:pPr>
            <w:r w:rsidRPr="00CE3A46">
              <w:rPr>
                <w:color w:val="auto"/>
              </w:rPr>
              <w:t>2.7</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1554D4BE" w14:textId="47538626" w:rsidR="00CE3A46" w:rsidRPr="00CE3A46" w:rsidRDefault="00CE3A46" w:rsidP="00CE3A46">
            <w:pPr>
              <w:spacing w:after="0"/>
              <w:jc w:val="center"/>
              <w:rPr>
                <w:color w:val="auto"/>
              </w:rPr>
            </w:pPr>
            <w:r w:rsidRPr="00CE3A46">
              <w:rPr>
                <w:color w:val="auto"/>
              </w:rPr>
              <w:t>2.8</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72722794" w14:textId="57B9BD0F" w:rsidR="00CE3A46" w:rsidRPr="00CE3A46" w:rsidRDefault="00CE3A46" w:rsidP="00CE3A46">
            <w:pPr>
              <w:spacing w:after="0"/>
              <w:jc w:val="center"/>
              <w:rPr>
                <w:color w:val="auto"/>
              </w:rPr>
            </w:pPr>
            <w:r w:rsidRPr="00CE3A46">
              <w:rPr>
                <w:color w:val="auto"/>
              </w:rPr>
              <w:t>3.3</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20655F90" w14:textId="3088EF7D" w:rsidR="00CE3A46" w:rsidRPr="00CE3A46" w:rsidRDefault="00CE3A46" w:rsidP="00CE3A46">
            <w:pPr>
              <w:spacing w:after="0"/>
              <w:jc w:val="center"/>
              <w:rPr>
                <w:color w:val="auto"/>
              </w:rPr>
            </w:pPr>
            <w:r w:rsidRPr="00CE3A46">
              <w:rPr>
                <w:color w:val="auto"/>
              </w:rPr>
              <w:t>2.8</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6C0FE875" w14:textId="291782C5"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3955C5D8" w14:textId="5EF608DE" w:rsidR="00CE3A46" w:rsidRPr="00CE3A46" w:rsidRDefault="00CE3A46" w:rsidP="00CE3A46">
            <w:pPr>
              <w:spacing w:after="0"/>
              <w:jc w:val="center"/>
              <w:rPr>
                <w:color w:val="auto"/>
              </w:rPr>
            </w:pPr>
            <w:r w:rsidRPr="00CE3A46">
              <w:rPr>
                <w:color w:val="auto"/>
              </w:rPr>
              <w:t>3.1</w:t>
            </w:r>
          </w:p>
        </w:tc>
        <w:tc>
          <w:tcPr>
            <w:tcW w:w="239" w:type="dxa"/>
            <w:shd w:val="clear" w:color="auto" w:fill="auto"/>
            <w:vAlign w:val="center"/>
            <w:hideMark/>
          </w:tcPr>
          <w:p w14:paraId="2A93B454"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6FC124B9"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7F6A1D83" w14:textId="24C12635" w:rsidR="00CE3A46" w:rsidRPr="00D076AD" w:rsidRDefault="00CE3A46" w:rsidP="00CE3A46">
            <w:pPr>
              <w:spacing w:after="0"/>
              <w:rPr>
                <w:rFonts w:eastAsia="Times New Roman"/>
                <w:color w:val="auto"/>
                <w:lang w:eastAsia="en-AU"/>
              </w:rPr>
            </w:pPr>
            <w:r w:rsidRPr="00D076AD">
              <w:rPr>
                <w:color w:val="auto"/>
              </w:rPr>
              <w:t>Fiji</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497E3407" w14:textId="1F2A03D3" w:rsidR="00CE3A46" w:rsidRPr="00D076AD" w:rsidRDefault="00CE3A46" w:rsidP="00CE3A46">
            <w:pPr>
              <w:spacing w:after="0"/>
              <w:rPr>
                <w:color w:val="auto"/>
              </w:rPr>
            </w:pPr>
            <w:r w:rsidRPr="00D076AD">
              <w:rPr>
                <w:color w:val="auto"/>
              </w:rPr>
              <w:t>High</w:t>
            </w:r>
          </w:p>
        </w:tc>
        <w:tc>
          <w:tcPr>
            <w:tcW w:w="709" w:type="dxa"/>
            <w:tcBorders>
              <w:top w:val="nil"/>
              <w:left w:val="nil"/>
              <w:bottom w:val="single" w:sz="4" w:space="0" w:color="333333"/>
              <w:right w:val="single" w:sz="4" w:space="0" w:color="333333"/>
            </w:tcBorders>
            <w:shd w:val="clear" w:color="auto" w:fill="auto"/>
            <w:noWrap/>
            <w:vAlign w:val="center"/>
          </w:tcPr>
          <w:p w14:paraId="71257319" w14:textId="4AD242E6" w:rsidR="00CE3A46" w:rsidRPr="00D076AD" w:rsidRDefault="00CE3A46" w:rsidP="00CE3A46">
            <w:pPr>
              <w:spacing w:after="0"/>
              <w:rPr>
                <w:rFonts w:eastAsia="Times New Roman"/>
                <w:color w:val="auto"/>
                <w:lang w:eastAsia="en-AU"/>
              </w:rPr>
            </w:pPr>
            <w:r w:rsidRPr="00D076AD">
              <w:rPr>
                <w:color w:val="auto"/>
              </w:rPr>
              <w:t>10.0</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44BD6FCE" w14:textId="36F48C74" w:rsidR="00CE3A46" w:rsidRPr="00D076AD" w:rsidRDefault="00CE3A46" w:rsidP="00CE3A46">
            <w:pPr>
              <w:spacing w:after="0"/>
              <w:jc w:val="center"/>
              <w:rPr>
                <w:rFonts w:eastAsia="Times New Roman"/>
                <w:color w:val="auto"/>
                <w:lang w:eastAsia="en-AU"/>
              </w:rPr>
            </w:pPr>
            <w:r w:rsidRPr="00D076AD">
              <w:rPr>
                <w:color w:val="auto"/>
              </w:rPr>
              <w:t>2.6</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32771711" w14:textId="1650D53D" w:rsidR="00CE3A46" w:rsidRPr="00D076AD" w:rsidRDefault="00CE3A46" w:rsidP="00CE3A46">
            <w:pPr>
              <w:spacing w:after="0"/>
              <w:jc w:val="center"/>
              <w:rPr>
                <w:rFonts w:eastAsia="Times New Roman"/>
                <w:color w:val="auto"/>
                <w:lang w:eastAsia="en-AU"/>
              </w:rPr>
            </w:pPr>
            <w:r w:rsidRPr="00D076AD">
              <w:rPr>
                <w:color w:val="auto"/>
              </w:rPr>
              <w:t>3.9</w:t>
            </w:r>
          </w:p>
        </w:tc>
        <w:tc>
          <w:tcPr>
            <w:tcW w:w="992" w:type="dxa"/>
            <w:tcBorders>
              <w:top w:val="single" w:sz="4" w:space="0" w:color="333333"/>
              <w:left w:val="nil"/>
              <w:bottom w:val="single" w:sz="4" w:space="0" w:color="333333"/>
              <w:right w:val="single" w:sz="4" w:space="0" w:color="333333"/>
            </w:tcBorders>
            <w:shd w:val="clear" w:color="auto" w:fill="auto"/>
            <w:noWrap/>
          </w:tcPr>
          <w:p w14:paraId="69CD5016" w14:textId="0023672C" w:rsidR="00CE3A46" w:rsidRPr="00CE3A46" w:rsidRDefault="00CE3A46" w:rsidP="00CE3A46">
            <w:pPr>
              <w:spacing w:after="0"/>
              <w:jc w:val="center"/>
              <w:rPr>
                <w:color w:val="auto"/>
              </w:rPr>
            </w:pPr>
            <w:r w:rsidRPr="00CE3A46">
              <w:rPr>
                <w:color w:val="auto"/>
              </w:rPr>
              <w:t>1.9</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04863CCE" w14:textId="62E94344" w:rsidR="00CE3A46" w:rsidRPr="00CE3A46" w:rsidRDefault="00CE3A46" w:rsidP="00CE3A46">
            <w:pPr>
              <w:spacing w:after="0"/>
              <w:jc w:val="center"/>
              <w:rPr>
                <w:color w:val="auto"/>
              </w:rPr>
            </w:pPr>
            <w:r w:rsidRPr="00CE3A46">
              <w:rPr>
                <w:color w:val="auto"/>
              </w:rPr>
              <w:t>3.2</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2CD75206" w14:textId="3F9AE97D" w:rsidR="00CE3A46" w:rsidRPr="00CE3A46" w:rsidRDefault="00CE3A46" w:rsidP="00CE3A46">
            <w:pPr>
              <w:spacing w:after="0"/>
              <w:jc w:val="center"/>
              <w:rPr>
                <w:color w:val="auto"/>
              </w:rPr>
            </w:pPr>
            <w:r w:rsidRPr="00CE3A46">
              <w:rPr>
                <w:color w:val="auto"/>
              </w:rPr>
              <w:t>3.3</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5B7289F1" w14:textId="4BC675C0" w:rsidR="00CE3A46" w:rsidRPr="00CE3A46" w:rsidRDefault="00CE3A46" w:rsidP="00CE3A46">
            <w:pPr>
              <w:spacing w:after="0"/>
              <w:jc w:val="center"/>
              <w:rPr>
                <w:color w:val="auto"/>
              </w:rPr>
            </w:pPr>
            <w:r w:rsidRPr="00CE3A46">
              <w:rPr>
                <w:color w:val="auto"/>
              </w:rPr>
              <w:t>4.5</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5422D39E" w14:textId="7348E6F5" w:rsidR="00CE3A46" w:rsidRPr="00CE3A46" w:rsidRDefault="00CE3A46" w:rsidP="00CE3A46">
            <w:pPr>
              <w:spacing w:after="0"/>
              <w:jc w:val="center"/>
              <w:rPr>
                <w:color w:val="auto"/>
              </w:rPr>
            </w:pPr>
            <w:r w:rsidRPr="00CE3A46">
              <w:rPr>
                <w:color w:val="auto"/>
              </w:rPr>
              <w:t>4.0</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571D31E8" w14:textId="4D1F5696"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1610857F" w14:textId="11542379" w:rsidR="00CE3A46" w:rsidRPr="00CE3A46" w:rsidRDefault="00CE3A46" w:rsidP="00CE3A46">
            <w:pPr>
              <w:spacing w:after="0"/>
              <w:jc w:val="center"/>
              <w:rPr>
                <w:color w:val="auto"/>
              </w:rPr>
            </w:pPr>
            <w:r w:rsidRPr="00CE3A46">
              <w:rPr>
                <w:color w:val="auto"/>
              </w:rPr>
              <w:t>2.2</w:t>
            </w:r>
          </w:p>
        </w:tc>
        <w:tc>
          <w:tcPr>
            <w:tcW w:w="239" w:type="dxa"/>
            <w:shd w:val="clear" w:color="auto" w:fill="auto"/>
            <w:vAlign w:val="center"/>
            <w:hideMark/>
          </w:tcPr>
          <w:p w14:paraId="12DE286A"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0E8F2ED6"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5FAAD294" w14:textId="54EE10FA" w:rsidR="00CE3A46" w:rsidRPr="00D076AD" w:rsidRDefault="00CE3A46" w:rsidP="00CE3A46">
            <w:pPr>
              <w:spacing w:after="0"/>
              <w:rPr>
                <w:rFonts w:eastAsia="Times New Roman"/>
                <w:color w:val="auto"/>
                <w:lang w:eastAsia="en-AU"/>
              </w:rPr>
            </w:pPr>
            <w:r w:rsidRPr="00D076AD">
              <w:rPr>
                <w:color w:val="auto"/>
              </w:rPr>
              <w:lastRenderedPageBreak/>
              <w:t>Samoa</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2B036C12" w14:textId="33D2A0E2" w:rsidR="00CE3A46" w:rsidRPr="00D076AD" w:rsidRDefault="00CE3A46" w:rsidP="00CE3A46">
            <w:pPr>
              <w:spacing w:after="0"/>
              <w:rPr>
                <w:color w:val="auto"/>
              </w:rPr>
            </w:pPr>
            <w:r w:rsidRPr="00D076AD">
              <w:rPr>
                <w:color w:val="auto"/>
              </w:rPr>
              <w:t>Medium</w:t>
            </w:r>
          </w:p>
        </w:tc>
        <w:tc>
          <w:tcPr>
            <w:tcW w:w="709" w:type="dxa"/>
            <w:tcBorders>
              <w:top w:val="nil"/>
              <w:left w:val="nil"/>
              <w:bottom w:val="single" w:sz="4" w:space="0" w:color="333333"/>
              <w:right w:val="single" w:sz="4" w:space="0" w:color="333333"/>
            </w:tcBorders>
            <w:shd w:val="clear" w:color="auto" w:fill="auto"/>
            <w:noWrap/>
            <w:vAlign w:val="center"/>
          </w:tcPr>
          <w:p w14:paraId="4219E4A4" w14:textId="7AAADA6B" w:rsidR="00CE3A46" w:rsidRPr="00D076AD" w:rsidRDefault="00CE3A46" w:rsidP="00CE3A46">
            <w:pPr>
              <w:spacing w:after="0"/>
              <w:rPr>
                <w:rFonts w:eastAsia="Times New Roman"/>
                <w:color w:val="auto"/>
                <w:lang w:eastAsia="en-AU"/>
              </w:rPr>
            </w:pPr>
            <w:r w:rsidRPr="00D076AD">
              <w:rPr>
                <w:color w:val="auto"/>
              </w:rPr>
              <w:t>9.6</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76654CE1" w14:textId="5965C38D" w:rsidR="00CE3A46" w:rsidRPr="00D076AD" w:rsidRDefault="00CE3A46" w:rsidP="00CE3A46">
            <w:pPr>
              <w:spacing w:after="0"/>
              <w:jc w:val="center"/>
              <w:rPr>
                <w:rFonts w:eastAsia="Times New Roman"/>
                <w:color w:val="auto"/>
                <w:lang w:eastAsia="en-AU"/>
              </w:rPr>
            </w:pPr>
            <w:r w:rsidRPr="00D076AD">
              <w:rPr>
                <w:color w:val="auto"/>
              </w:rPr>
              <w:t>2.4</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274343C2" w14:textId="5061232A" w:rsidR="00CE3A46" w:rsidRPr="00D076AD" w:rsidRDefault="00CE3A46" w:rsidP="00CE3A46">
            <w:pPr>
              <w:spacing w:after="0"/>
              <w:jc w:val="center"/>
              <w:rPr>
                <w:rFonts w:eastAsia="Times New Roman"/>
                <w:color w:val="auto"/>
                <w:lang w:eastAsia="en-AU"/>
              </w:rPr>
            </w:pPr>
            <w:r w:rsidRPr="00D076AD">
              <w:rPr>
                <w:color w:val="auto"/>
              </w:rPr>
              <w:t>4.0</w:t>
            </w:r>
          </w:p>
        </w:tc>
        <w:tc>
          <w:tcPr>
            <w:tcW w:w="992" w:type="dxa"/>
            <w:tcBorders>
              <w:top w:val="single" w:sz="4" w:space="0" w:color="333333"/>
              <w:left w:val="nil"/>
              <w:bottom w:val="single" w:sz="4" w:space="0" w:color="333333"/>
              <w:right w:val="single" w:sz="4" w:space="0" w:color="333333"/>
            </w:tcBorders>
            <w:shd w:val="clear" w:color="auto" w:fill="auto"/>
            <w:noWrap/>
          </w:tcPr>
          <w:p w14:paraId="2912E996" w14:textId="6195904F" w:rsidR="00CE3A46" w:rsidRPr="00CE3A46" w:rsidRDefault="00CE3A46" w:rsidP="00CE3A46">
            <w:pPr>
              <w:spacing w:after="0"/>
              <w:jc w:val="center"/>
              <w:rPr>
                <w:color w:val="auto"/>
              </w:rPr>
            </w:pPr>
            <w:r w:rsidRPr="00CE3A46">
              <w:rPr>
                <w:color w:val="auto"/>
              </w:rPr>
              <w:t>1.9</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5597E566" w14:textId="1AD17373" w:rsidR="00CE3A46" w:rsidRPr="00CE3A46" w:rsidRDefault="00CE3A46" w:rsidP="00CE3A46">
            <w:pPr>
              <w:spacing w:after="0"/>
              <w:jc w:val="center"/>
              <w:rPr>
                <w:color w:val="auto"/>
              </w:rPr>
            </w:pPr>
            <w:r w:rsidRPr="00CE3A46">
              <w:rPr>
                <w:color w:val="auto"/>
              </w:rPr>
              <w:t>3.0</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3F4865F4" w14:textId="649C83D8" w:rsidR="00CE3A46" w:rsidRPr="00CE3A46" w:rsidRDefault="00CE3A46" w:rsidP="00CE3A46">
            <w:pPr>
              <w:spacing w:after="0"/>
              <w:jc w:val="center"/>
              <w:rPr>
                <w:color w:val="auto"/>
              </w:rPr>
            </w:pPr>
            <w:r w:rsidRPr="00CE3A46">
              <w:rPr>
                <w:color w:val="auto"/>
              </w:rPr>
              <w:t>3.0</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577C0AB2" w14:textId="7A4A518A" w:rsidR="00CE3A46" w:rsidRPr="00CE3A46" w:rsidRDefault="00CE3A46" w:rsidP="00CE3A46">
            <w:pPr>
              <w:spacing w:after="0"/>
              <w:jc w:val="center"/>
              <w:rPr>
                <w:color w:val="auto"/>
              </w:rPr>
            </w:pPr>
            <w:r w:rsidRPr="00CE3A46">
              <w:rPr>
                <w:color w:val="auto"/>
              </w:rPr>
              <w:t>3.9</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4CB32C53" w14:textId="464DCFA1" w:rsidR="00CE3A46" w:rsidRPr="00CE3A46" w:rsidRDefault="00CE3A46" w:rsidP="00CE3A46">
            <w:pPr>
              <w:spacing w:after="0"/>
              <w:jc w:val="center"/>
              <w:rPr>
                <w:color w:val="auto"/>
              </w:rPr>
            </w:pPr>
            <w:r w:rsidRPr="00CE3A46">
              <w:rPr>
                <w:color w:val="auto"/>
              </w:rPr>
              <w:t>4.3</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10B847F1" w14:textId="09A02BED"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08ACAF96" w14:textId="06C4BD6A" w:rsidR="00CE3A46" w:rsidRPr="00CE3A46" w:rsidRDefault="00CE3A46" w:rsidP="00CE3A46">
            <w:pPr>
              <w:spacing w:after="0"/>
              <w:jc w:val="center"/>
              <w:rPr>
                <w:color w:val="auto"/>
              </w:rPr>
            </w:pPr>
            <w:r w:rsidRPr="00CE3A46">
              <w:rPr>
                <w:color w:val="auto"/>
              </w:rPr>
              <w:t>2.9</w:t>
            </w:r>
          </w:p>
        </w:tc>
        <w:tc>
          <w:tcPr>
            <w:tcW w:w="239" w:type="dxa"/>
            <w:shd w:val="clear" w:color="auto" w:fill="auto"/>
            <w:vAlign w:val="center"/>
            <w:hideMark/>
          </w:tcPr>
          <w:p w14:paraId="63D8C875"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6128EB60"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260484A9" w14:textId="58775D7E" w:rsidR="00CE3A46" w:rsidRPr="00D076AD" w:rsidRDefault="00CE3A46" w:rsidP="00CE3A46">
            <w:pPr>
              <w:spacing w:after="0"/>
              <w:rPr>
                <w:rFonts w:eastAsia="Times New Roman"/>
                <w:color w:val="auto"/>
                <w:lang w:eastAsia="en-AU"/>
              </w:rPr>
            </w:pPr>
            <w:r w:rsidRPr="00D076AD">
              <w:rPr>
                <w:color w:val="auto"/>
              </w:rPr>
              <w:t>Azerbaijan</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1AE471BB" w14:textId="680F5EE7" w:rsidR="00CE3A46" w:rsidRPr="00D076AD" w:rsidRDefault="00CE3A46" w:rsidP="00CE3A46">
            <w:pPr>
              <w:spacing w:after="0"/>
              <w:rPr>
                <w:color w:val="auto"/>
              </w:rPr>
            </w:pPr>
            <w:r w:rsidRPr="00D076AD">
              <w:rPr>
                <w:color w:val="auto"/>
              </w:rPr>
              <w:t>Medium</w:t>
            </w:r>
          </w:p>
        </w:tc>
        <w:tc>
          <w:tcPr>
            <w:tcW w:w="709" w:type="dxa"/>
            <w:tcBorders>
              <w:top w:val="nil"/>
              <w:left w:val="nil"/>
              <w:bottom w:val="single" w:sz="4" w:space="0" w:color="333333"/>
              <w:right w:val="single" w:sz="4" w:space="0" w:color="333333"/>
            </w:tcBorders>
            <w:shd w:val="clear" w:color="auto" w:fill="auto"/>
            <w:noWrap/>
            <w:vAlign w:val="center"/>
          </w:tcPr>
          <w:p w14:paraId="633EDD3E" w14:textId="3A6B54E4" w:rsidR="00CE3A46" w:rsidRPr="00D076AD" w:rsidRDefault="00CE3A46" w:rsidP="00CE3A46">
            <w:pPr>
              <w:spacing w:after="0"/>
              <w:rPr>
                <w:rFonts w:eastAsia="Times New Roman"/>
                <w:color w:val="auto"/>
                <w:lang w:eastAsia="en-AU"/>
              </w:rPr>
            </w:pPr>
            <w:r w:rsidRPr="00D076AD">
              <w:rPr>
                <w:color w:val="auto"/>
              </w:rPr>
              <w:t>9.4</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7DBA6FE8" w14:textId="3E9A2898" w:rsidR="00CE3A46" w:rsidRPr="00D076AD" w:rsidRDefault="00CE3A46" w:rsidP="00CE3A46">
            <w:pPr>
              <w:spacing w:after="0"/>
              <w:jc w:val="center"/>
              <w:rPr>
                <w:rFonts w:eastAsia="Times New Roman"/>
                <w:color w:val="auto"/>
                <w:lang w:eastAsia="en-AU"/>
              </w:rPr>
            </w:pPr>
            <w:r w:rsidRPr="00D076AD">
              <w:rPr>
                <w:color w:val="auto"/>
              </w:rPr>
              <w:t>2.6</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7464160F" w14:textId="0DC029E9" w:rsidR="00CE3A46" w:rsidRPr="00D076AD" w:rsidRDefault="00CE3A46" w:rsidP="00CE3A46">
            <w:pPr>
              <w:spacing w:after="0"/>
              <w:jc w:val="center"/>
              <w:rPr>
                <w:rFonts w:eastAsia="Times New Roman"/>
                <w:color w:val="auto"/>
                <w:lang w:eastAsia="en-AU"/>
              </w:rPr>
            </w:pPr>
            <w:r w:rsidRPr="00D076AD">
              <w:rPr>
                <w:color w:val="auto"/>
              </w:rPr>
              <w:t>3.6</w:t>
            </w:r>
          </w:p>
        </w:tc>
        <w:tc>
          <w:tcPr>
            <w:tcW w:w="992" w:type="dxa"/>
            <w:tcBorders>
              <w:top w:val="single" w:sz="4" w:space="0" w:color="333333"/>
              <w:left w:val="nil"/>
              <w:bottom w:val="single" w:sz="4" w:space="0" w:color="333333"/>
              <w:right w:val="single" w:sz="4" w:space="0" w:color="333333"/>
            </w:tcBorders>
            <w:shd w:val="clear" w:color="auto" w:fill="auto"/>
            <w:noWrap/>
          </w:tcPr>
          <w:p w14:paraId="600BAD62" w14:textId="4726EA89" w:rsidR="00CE3A46" w:rsidRPr="00CE3A46" w:rsidRDefault="00CE3A46" w:rsidP="00CE3A46">
            <w:pPr>
              <w:spacing w:after="0"/>
              <w:jc w:val="center"/>
              <w:rPr>
                <w:color w:val="auto"/>
              </w:rPr>
            </w:pPr>
            <w:r w:rsidRPr="00CE3A46">
              <w:rPr>
                <w:color w:val="auto"/>
              </w:rPr>
              <w:t>3.5</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3B077D0A" w14:textId="19BAC0AE" w:rsidR="00CE3A46" w:rsidRPr="00CE3A46" w:rsidRDefault="00CE3A46" w:rsidP="00CE3A46">
            <w:pPr>
              <w:spacing w:after="0"/>
              <w:jc w:val="center"/>
              <w:rPr>
                <w:color w:val="auto"/>
              </w:rPr>
            </w:pPr>
            <w:r w:rsidRPr="00CE3A46">
              <w:rPr>
                <w:color w:val="auto"/>
              </w:rPr>
              <w:t>1.8</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2954CCD0" w14:textId="118E0B3C" w:rsidR="00CE3A46" w:rsidRPr="00CE3A46" w:rsidRDefault="00CE3A46" w:rsidP="00CE3A46">
            <w:pPr>
              <w:spacing w:after="0"/>
              <w:jc w:val="center"/>
              <w:rPr>
                <w:color w:val="auto"/>
              </w:rPr>
            </w:pPr>
            <w:r w:rsidRPr="00CE3A46">
              <w:rPr>
                <w:color w:val="auto"/>
              </w:rPr>
              <w:t>2.2</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35421BC8" w14:textId="08AA3F29" w:rsidR="00CE3A46" w:rsidRPr="00CE3A46" w:rsidRDefault="00CE3A46" w:rsidP="00CE3A46">
            <w:pPr>
              <w:spacing w:after="0"/>
              <w:jc w:val="center"/>
              <w:rPr>
                <w:color w:val="auto"/>
              </w:rPr>
            </w:pPr>
            <w:r w:rsidRPr="00CE3A46">
              <w:rPr>
                <w:color w:val="auto"/>
              </w:rPr>
              <w:t>3.0</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4430A7CA" w14:textId="3ECFBF0D" w:rsidR="00CE3A46" w:rsidRPr="00CE3A46" w:rsidRDefault="00CE3A46" w:rsidP="00CE3A46">
            <w:pPr>
              <w:spacing w:after="0"/>
              <w:jc w:val="center"/>
              <w:rPr>
                <w:color w:val="auto"/>
              </w:rPr>
            </w:pPr>
            <w:r w:rsidRPr="00CE3A46">
              <w:rPr>
                <w:color w:val="auto"/>
              </w:rPr>
              <w:t>3.7</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19A1CBF3" w14:textId="53AE1BB3"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6F19DB67" w14:textId="40291528" w:rsidR="00CE3A46" w:rsidRPr="00CE3A46" w:rsidRDefault="00CE3A46" w:rsidP="00CE3A46">
            <w:pPr>
              <w:spacing w:after="0"/>
              <w:jc w:val="center"/>
              <w:rPr>
                <w:color w:val="auto"/>
              </w:rPr>
            </w:pPr>
            <w:r w:rsidRPr="00CE3A46">
              <w:rPr>
                <w:color w:val="auto"/>
              </w:rPr>
              <w:t>2.8</w:t>
            </w:r>
          </w:p>
        </w:tc>
        <w:tc>
          <w:tcPr>
            <w:tcW w:w="239" w:type="dxa"/>
            <w:shd w:val="clear" w:color="auto" w:fill="auto"/>
            <w:vAlign w:val="center"/>
            <w:hideMark/>
          </w:tcPr>
          <w:p w14:paraId="4E02EC1D"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5010B5B5"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79DAAFB7" w14:textId="247AC4F3" w:rsidR="00CE3A46" w:rsidRPr="00D076AD" w:rsidRDefault="00CE3A46" w:rsidP="00CE3A46">
            <w:pPr>
              <w:spacing w:after="0"/>
              <w:rPr>
                <w:rFonts w:eastAsia="Times New Roman"/>
                <w:color w:val="auto"/>
                <w:lang w:eastAsia="en-AU"/>
              </w:rPr>
            </w:pPr>
            <w:r w:rsidRPr="00D076AD">
              <w:rPr>
                <w:color w:val="auto"/>
              </w:rPr>
              <w:t>Armenia</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176F8419" w14:textId="3D44DF16" w:rsidR="00CE3A46" w:rsidRPr="00D076AD" w:rsidRDefault="00CE3A46" w:rsidP="00CE3A46">
            <w:pPr>
              <w:spacing w:after="0"/>
              <w:rPr>
                <w:color w:val="auto"/>
              </w:rPr>
            </w:pPr>
            <w:r w:rsidRPr="00D076AD">
              <w:rPr>
                <w:color w:val="auto"/>
              </w:rPr>
              <w:t>Medium</w:t>
            </w:r>
          </w:p>
        </w:tc>
        <w:tc>
          <w:tcPr>
            <w:tcW w:w="709" w:type="dxa"/>
            <w:tcBorders>
              <w:top w:val="nil"/>
              <w:left w:val="nil"/>
              <w:bottom w:val="single" w:sz="4" w:space="0" w:color="333333"/>
              <w:right w:val="single" w:sz="4" w:space="0" w:color="333333"/>
            </w:tcBorders>
            <w:shd w:val="clear" w:color="auto" w:fill="auto"/>
            <w:noWrap/>
            <w:vAlign w:val="center"/>
          </w:tcPr>
          <w:p w14:paraId="5D88C42F" w14:textId="29ABABA6" w:rsidR="00CE3A46" w:rsidRPr="00D076AD" w:rsidRDefault="00CE3A46" w:rsidP="00CE3A46">
            <w:pPr>
              <w:spacing w:after="0"/>
              <w:rPr>
                <w:rFonts w:eastAsia="Times New Roman"/>
                <w:color w:val="auto"/>
                <w:lang w:eastAsia="en-AU"/>
              </w:rPr>
            </w:pPr>
            <w:r w:rsidRPr="00D076AD">
              <w:rPr>
                <w:color w:val="auto"/>
              </w:rPr>
              <w:t>9.3</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62DB1983" w14:textId="185A756C" w:rsidR="00CE3A46" w:rsidRPr="00D076AD" w:rsidRDefault="00CE3A46" w:rsidP="00CE3A46">
            <w:pPr>
              <w:spacing w:after="0"/>
              <w:jc w:val="center"/>
              <w:rPr>
                <w:rFonts w:eastAsia="Times New Roman"/>
                <w:color w:val="auto"/>
                <w:lang w:eastAsia="en-AU"/>
              </w:rPr>
            </w:pPr>
            <w:r w:rsidRPr="00D076AD">
              <w:rPr>
                <w:color w:val="auto"/>
              </w:rPr>
              <w:t>2.7</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0A6E99A6" w14:textId="7267D9F7" w:rsidR="00CE3A46" w:rsidRPr="00D076AD" w:rsidRDefault="00CE3A46" w:rsidP="00CE3A46">
            <w:pPr>
              <w:spacing w:after="0"/>
              <w:jc w:val="center"/>
              <w:rPr>
                <w:rFonts w:eastAsia="Times New Roman"/>
                <w:color w:val="auto"/>
                <w:lang w:eastAsia="en-AU"/>
              </w:rPr>
            </w:pPr>
            <w:r w:rsidRPr="00D076AD">
              <w:rPr>
                <w:color w:val="auto"/>
              </w:rPr>
              <w:t>3.5</w:t>
            </w:r>
          </w:p>
        </w:tc>
        <w:tc>
          <w:tcPr>
            <w:tcW w:w="992" w:type="dxa"/>
            <w:tcBorders>
              <w:top w:val="single" w:sz="4" w:space="0" w:color="333333"/>
              <w:left w:val="nil"/>
              <w:bottom w:val="single" w:sz="4" w:space="0" w:color="333333"/>
              <w:right w:val="single" w:sz="4" w:space="0" w:color="333333"/>
            </w:tcBorders>
            <w:shd w:val="clear" w:color="auto" w:fill="auto"/>
            <w:noWrap/>
          </w:tcPr>
          <w:p w14:paraId="0B2C09CC" w14:textId="1A3F4049" w:rsidR="00CE3A46" w:rsidRPr="00CE3A46" w:rsidRDefault="00CE3A46" w:rsidP="00CE3A46">
            <w:pPr>
              <w:spacing w:after="0"/>
              <w:jc w:val="center"/>
              <w:rPr>
                <w:color w:val="auto"/>
              </w:rPr>
            </w:pPr>
            <w:r w:rsidRPr="00CE3A46">
              <w:rPr>
                <w:color w:val="auto"/>
              </w:rPr>
              <w:t>3.6</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338086B1" w14:textId="03CD6BD7" w:rsidR="00CE3A46" w:rsidRPr="00CE3A46" w:rsidRDefault="00CE3A46" w:rsidP="00CE3A46">
            <w:pPr>
              <w:spacing w:after="0"/>
              <w:jc w:val="center"/>
              <w:rPr>
                <w:color w:val="auto"/>
              </w:rPr>
            </w:pPr>
            <w:r w:rsidRPr="00CE3A46">
              <w:rPr>
                <w:color w:val="auto"/>
              </w:rPr>
              <w:t>1.8</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64BBF4E3" w14:textId="1EE94471" w:rsidR="00CE3A46" w:rsidRPr="00CE3A46" w:rsidRDefault="00CE3A46" w:rsidP="00CE3A46">
            <w:pPr>
              <w:spacing w:after="0"/>
              <w:jc w:val="center"/>
              <w:rPr>
                <w:color w:val="auto"/>
              </w:rPr>
            </w:pPr>
            <w:r w:rsidRPr="00CE3A46">
              <w:rPr>
                <w:color w:val="auto"/>
              </w:rPr>
              <w:t>1.5</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19AE9856" w14:textId="146ABDC9" w:rsidR="00CE3A46" w:rsidRPr="00CE3A46" w:rsidRDefault="00CE3A46" w:rsidP="00CE3A46">
            <w:pPr>
              <w:spacing w:after="0"/>
              <w:jc w:val="center"/>
              <w:rPr>
                <w:color w:val="auto"/>
              </w:rPr>
            </w:pPr>
            <w:r w:rsidRPr="00CE3A46">
              <w:rPr>
                <w:color w:val="auto"/>
              </w:rPr>
              <w:t>2.9</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5A16D5FC" w14:textId="2EA17842" w:rsidR="00CE3A46" w:rsidRPr="00CE3A46" w:rsidRDefault="00CE3A46" w:rsidP="00CE3A46">
            <w:pPr>
              <w:spacing w:after="0"/>
              <w:jc w:val="center"/>
              <w:rPr>
                <w:color w:val="auto"/>
              </w:rPr>
            </w:pPr>
            <w:r w:rsidRPr="00CE3A46">
              <w:rPr>
                <w:color w:val="auto"/>
              </w:rPr>
              <w:t>2.5</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391C0DF9" w14:textId="287AF709"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0450D2BE" w14:textId="6406019A" w:rsidR="00CE3A46" w:rsidRPr="00CE3A46" w:rsidRDefault="00CE3A46" w:rsidP="00CE3A46">
            <w:pPr>
              <w:spacing w:after="0"/>
              <w:jc w:val="center"/>
              <w:rPr>
                <w:color w:val="auto"/>
              </w:rPr>
            </w:pPr>
            <w:r w:rsidRPr="00CE3A46">
              <w:rPr>
                <w:color w:val="auto"/>
              </w:rPr>
              <w:t>2.5</w:t>
            </w:r>
          </w:p>
        </w:tc>
        <w:tc>
          <w:tcPr>
            <w:tcW w:w="239" w:type="dxa"/>
            <w:shd w:val="clear" w:color="auto" w:fill="auto"/>
            <w:vAlign w:val="center"/>
            <w:hideMark/>
          </w:tcPr>
          <w:p w14:paraId="2BB168DD"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62C413C5"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3DF0D796" w14:textId="4C8C0693" w:rsidR="00CE3A46" w:rsidRPr="00D076AD" w:rsidRDefault="00CE3A46" w:rsidP="00CE3A46">
            <w:pPr>
              <w:spacing w:after="0"/>
              <w:rPr>
                <w:color w:val="auto"/>
              </w:rPr>
            </w:pPr>
            <w:r w:rsidRPr="00D076AD">
              <w:rPr>
                <w:color w:val="auto"/>
              </w:rPr>
              <w:t>Turkmenistan</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5B8B6E35" w14:textId="7EA0307D" w:rsidR="00CE3A46" w:rsidRPr="00D076AD" w:rsidRDefault="00CE3A46" w:rsidP="00CE3A46">
            <w:pPr>
              <w:spacing w:after="0"/>
              <w:rPr>
                <w:color w:val="auto"/>
              </w:rPr>
            </w:pPr>
            <w:r w:rsidRPr="00D076AD">
              <w:rPr>
                <w:color w:val="auto"/>
              </w:rPr>
              <w:t>Medium</w:t>
            </w:r>
          </w:p>
        </w:tc>
        <w:tc>
          <w:tcPr>
            <w:tcW w:w="709" w:type="dxa"/>
            <w:tcBorders>
              <w:top w:val="nil"/>
              <w:left w:val="nil"/>
              <w:bottom w:val="single" w:sz="4" w:space="0" w:color="333333"/>
              <w:right w:val="single" w:sz="4" w:space="0" w:color="333333"/>
            </w:tcBorders>
            <w:shd w:val="clear" w:color="auto" w:fill="auto"/>
            <w:noWrap/>
            <w:vAlign w:val="center"/>
          </w:tcPr>
          <w:p w14:paraId="0F0FC37E" w14:textId="2CE1DDEB" w:rsidR="00CE3A46" w:rsidRPr="00D076AD" w:rsidRDefault="00CE3A46" w:rsidP="00CE3A46">
            <w:pPr>
              <w:spacing w:after="0"/>
              <w:rPr>
                <w:color w:val="auto"/>
              </w:rPr>
            </w:pPr>
            <w:r w:rsidRPr="00D076AD">
              <w:rPr>
                <w:color w:val="auto"/>
              </w:rPr>
              <w:t>9.2</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6ACB8340" w14:textId="7CC1D01B" w:rsidR="00CE3A46" w:rsidRPr="00D076AD" w:rsidRDefault="00CE3A46" w:rsidP="00CE3A46">
            <w:pPr>
              <w:spacing w:after="0"/>
              <w:jc w:val="center"/>
              <w:rPr>
                <w:color w:val="auto"/>
              </w:rPr>
            </w:pPr>
            <w:r w:rsidRPr="00D076AD">
              <w:rPr>
                <w:color w:val="auto"/>
              </w:rPr>
              <w:t>2.7</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1C771D39" w14:textId="34669DF5" w:rsidR="00CE3A46" w:rsidRPr="00D076AD" w:rsidRDefault="00CE3A46" w:rsidP="00CE3A46">
            <w:pPr>
              <w:spacing w:after="0"/>
              <w:jc w:val="center"/>
              <w:rPr>
                <w:color w:val="auto"/>
              </w:rPr>
            </w:pPr>
            <w:r w:rsidRPr="00D076AD">
              <w:rPr>
                <w:color w:val="auto"/>
              </w:rPr>
              <w:t>3.4</w:t>
            </w:r>
          </w:p>
        </w:tc>
        <w:tc>
          <w:tcPr>
            <w:tcW w:w="992" w:type="dxa"/>
            <w:tcBorders>
              <w:top w:val="single" w:sz="4" w:space="0" w:color="333333"/>
              <w:left w:val="nil"/>
              <w:bottom w:val="single" w:sz="4" w:space="0" w:color="333333"/>
              <w:right w:val="single" w:sz="4" w:space="0" w:color="333333"/>
            </w:tcBorders>
            <w:shd w:val="clear" w:color="auto" w:fill="auto"/>
            <w:noWrap/>
          </w:tcPr>
          <w:p w14:paraId="20A8C7A2" w14:textId="0557F5FC" w:rsidR="00CE3A46" w:rsidRPr="00D076AD" w:rsidRDefault="00CE3A46" w:rsidP="00CE3A46">
            <w:pPr>
              <w:spacing w:after="0"/>
              <w:jc w:val="center"/>
              <w:rPr>
                <w:color w:val="auto"/>
              </w:rPr>
            </w:pPr>
            <w:r w:rsidRPr="00CE3A46">
              <w:rPr>
                <w:color w:val="auto"/>
              </w:rPr>
              <w:t>3.2</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05FF66F9" w14:textId="67CC468A" w:rsidR="00CE3A46" w:rsidRPr="00D076AD" w:rsidRDefault="00CE3A46" w:rsidP="00CE3A46">
            <w:pPr>
              <w:spacing w:after="0"/>
              <w:jc w:val="center"/>
              <w:rPr>
                <w:color w:val="auto"/>
              </w:rPr>
            </w:pPr>
            <w:r w:rsidRPr="00CE3A46">
              <w:rPr>
                <w:color w:val="auto"/>
              </w:rPr>
              <w:t>2.2</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321E1F1F" w14:textId="7AF0D250" w:rsidR="00CE3A46" w:rsidRPr="00D076AD" w:rsidRDefault="00CE3A46" w:rsidP="00CE3A46">
            <w:pPr>
              <w:spacing w:after="0"/>
              <w:jc w:val="center"/>
              <w:rPr>
                <w:color w:val="auto"/>
              </w:rPr>
            </w:pPr>
            <w:r w:rsidRPr="00CE3A46">
              <w:rPr>
                <w:color w:val="auto"/>
              </w:rPr>
              <w:t>1.7</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489CB8BC" w14:textId="28FA4BE6" w:rsidR="00CE3A46" w:rsidRPr="00D076AD" w:rsidRDefault="00CE3A46" w:rsidP="00CE3A46">
            <w:pPr>
              <w:spacing w:after="0"/>
              <w:jc w:val="center"/>
              <w:rPr>
                <w:color w:val="auto"/>
              </w:rPr>
            </w:pPr>
            <w:r w:rsidRPr="00CE3A46">
              <w:rPr>
                <w:color w:val="auto"/>
              </w:rPr>
              <w:t>2.8</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3F67E149" w14:textId="6B86EC40" w:rsidR="00CE3A46" w:rsidRPr="00D076AD" w:rsidRDefault="00CE3A46" w:rsidP="00CE3A46">
            <w:pPr>
              <w:spacing w:after="0"/>
              <w:jc w:val="center"/>
              <w:rPr>
                <w:color w:val="auto"/>
              </w:rPr>
            </w:pPr>
            <w:r w:rsidRPr="00CE3A46">
              <w:rPr>
                <w:color w:val="auto"/>
              </w:rPr>
              <w:t>2.0</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0F3A70F5" w14:textId="6744D934" w:rsidR="00CE3A46" w:rsidRPr="00D076AD"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500C2CC3" w14:textId="5399DD37" w:rsidR="00CE3A46" w:rsidRPr="00D076AD" w:rsidRDefault="00CE3A46" w:rsidP="00CE3A46">
            <w:pPr>
              <w:spacing w:after="0"/>
              <w:jc w:val="center"/>
              <w:rPr>
                <w:color w:val="auto"/>
              </w:rPr>
            </w:pPr>
            <w:r w:rsidRPr="00CE3A46">
              <w:rPr>
                <w:color w:val="auto"/>
              </w:rPr>
              <w:t>2.4</w:t>
            </w:r>
          </w:p>
        </w:tc>
        <w:tc>
          <w:tcPr>
            <w:tcW w:w="239" w:type="dxa"/>
            <w:shd w:val="clear" w:color="auto" w:fill="auto"/>
            <w:vAlign w:val="center"/>
          </w:tcPr>
          <w:p w14:paraId="7E1E12CC"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4A2C4D32"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0EB71B7" w14:textId="18025526" w:rsidR="00CE3A46" w:rsidRPr="00D076AD" w:rsidRDefault="00CE3A46" w:rsidP="00CE3A46">
            <w:pPr>
              <w:spacing w:after="0"/>
              <w:rPr>
                <w:rFonts w:eastAsia="Times New Roman"/>
                <w:color w:val="auto"/>
                <w:lang w:eastAsia="en-AU"/>
              </w:rPr>
            </w:pPr>
            <w:r w:rsidRPr="00D076AD">
              <w:rPr>
                <w:color w:val="auto"/>
              </w:rPr>
              <w:t>Maldives</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70250632" w14:textId="75A5D47A" w:rsidR="00CE3A46" w:rsidRPr="00D076AD" w:rsidRDefault="00CE3A46" w:rsidP="00CE3A46">
            <w:pPr>
              <w:spacing w:after="0"/>
              <w:rPr>
                <w:color w:val="auto"/>
              </w:rPr>
            </w:pPr>
            <w:r w:rsidRPr="00D076AD">
              <w:rPr>
                <w:color w:val="auto"/>
              </w:rPr>
              <w:t>Medium</w:t>
            </w:r>
          </w:p>
        </w:tc>
        <w:tc>
          <w:tcPr>
            <w:tcW w:w="709" w:type="dxa"/>
            <w:tcBorders>
              <w:top w:val="nil"/>
              <w:left w:val="nil"/>
              <w:bottom w:val="single" w:sz="4" w:space="0" w:color="333333"/>
              <w:right w:val="single" w:sz="4" w:space="0" w:color="333333"/>
            </w:tcBorders>
            <w:shd w:val="clear" w:color="auto" w:fill="auto"/>
            <w:noWrap/>
            <w:vAlign w:val="center"/>
          </w:tcPr>
          <w:p w14:paraId="5385080E" w14:textId="113655D4" w:rsidR="00CE3A46" w:rsidRPr="00D076AD" w:rsidRDefault="00CE3A46" w:rsidP="00CE3A46">
            <w:pPr>
              <w:spacing w:after="0"/>
              <w:rPr>
                <w:rFonts w:eastAsia="Times New Roman"/>
                <w:color w:val="auto"/>
                <w:lang w:eastAsia="en-AU"/>
              </w:rPr>
            </w:pPr>
            <w:r w:rsidRPr="00D076AD">
              <w:rPr>
                <w:color w:val="auto"/>
              </w:rPr>
              <w:t>8.9</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3192E9B0" w14:textId="2124B591" w:rsidR="00CE3A46" w:rsidRPr="00D076AD" w:rsidRDefault="00CE3A46" w:rsidP="00CE3A46">
            <w:pPr>
              <w:spacing w:after="0"/>
              <w:jc w:val="center"/>
              <w:rPr>
                <w:rFonts w:eastAsia="Times New Roman"/>
                <w:color w:val="auto"/>
                <w:lang w:eastAsia="en-AU"/>
              </w:rPr>
            </w:pPr>
            <w:r w:rsidRPr="00D076AD">
              <w:rPr>
                <w:color w:val="auto"/>
              </w:rPr>
              <w:t>3.2</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6C1BCE4A" w14:textId="3F1C28AA" w:rsidR="00CE3A46" w:rsidRPr="00D076AD" w:rsidRDefault="00CE3A46" w:rsidP="00CE3A46">
            <w:pPr>
              <w:spacing w:after="0"/>
              <w:jc w:val="center"/>
              <w:rPr>
                <w:rFonts w:eastAsia="Times New Roman"/>
                <w:color w:val="auto"/>
                <w:lang w:eastAsia="en-AU"/>
              </w:rPr>
            </w:pPr>
            <w:r w:rsidRPr="00D076AD">
              <w:rPr>
                <w:color w:val="auto"/>
              </w:rPr>
              <w:t>2.8</w:t>
            </w:r>
          </w:p>
        </w:tc>
        <w:tc>
          <w:tcPr>
            <w:tcW w:w="992" w:type="dxa"/>
            <w:tcBorders>
              <w:top w:val="single" w:sz="4" w:space="0" w:color="333333"/>
              <w:left w:val="nil"/>
              <w:bottom w:val="single" w:sz="4" w:space="0" w:color="333333"/>
              <w:right w:val="single" w:sz="4" w:space="0" w:color="333333"/>
            </w:tcBorders>
            <w:shd w:val="clear" w:color="auto" w:fill="auto"/>
            <w:noWrap/>
          </w:tcPr>
          <w:p w14:paraId="20256253" w14:textId="3364FC62" w:rsidR="00CE3A46" w:rsidRPr="00CE3A46" w:rsidRDefault="00CE3A46" w:rsidP="00CE3A46">
            <w:pPr>
              <w:spacing w:after="0"/>
              <w:jc w:val="center"/>
              <w:rPr>
                <w:color w:val="auto"/>
              </w:rPr>
            </w:pPr>
            <w:r w:rsidRPr="00CE3A46">
              <w:rPr>
                <w:color w:val="auto"/>
              </w:rPr>
              <w:t>3.5</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5539E09F" w14:textId="751E14FD" w:rsidR="00CE3A46" w:rsidRPr="00CE3A46" w:rsidRDefault="00CE3A46" w:rsidP="00CE3A46">
            <w:pPr>
              <w:spacing w:after="0"/>
              <w:jc w:val="center"/>
              <w:rPr>
                <w:color w:val="auto"/>
              </w:rPr>
            </w:pPr>
            <w:r w:rsidRPr="00CE3A46">
              <w:rPr>
                <w:color w:val="auto"/>
              </w:rPr>
              <w:t>3.0</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286B15C5" w14:textId="20A54099" w:rsidR="00CE3A46" w:rsidRPr="00CE3A46" w:rsidRDefault="00CE3A46" w:rsidP="00CE3A46">
            <w:pPr>
              <w:spacing w:after="0"/>
              <w:jc w:val="center"/>
              <w:rPr>
                <w:color w:val="auto"/>
              </w:rPr>
            </w:pPr>
            <w:r w:rsidRPr="00CE3A46">
              <w:rPr>
                <w:color w:val="auto"/>
              </w:rPr>
              <w:t>2.2</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2F2EF086" w14:textId="24AED98F" w:rsidR="00CE3A46" w:rsidRPr="00CE3A46" w:rsidRDefault="00CE3A46" w:rsidP="00CE3A46">
            <w:pPr>
              <w:spacing w:after="0"/>
              <w:jc w:val="center"/>
              <w:rPr>
                <w:color w:val="auto"/>
              </w:rPr>
            </w:pPr>
            <w:r w:rsidRPr="00CE3A46">
              <w:rPr>
                <w:color w:val="auto"/>
              </w:rPr>
              <w:t>1.4</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36CE02DF" w14:textId="57220901" w:rsidR="00CE3A46" w:rsidRPr="00CE3A46" w:rsidRDefault="00CE3A46" w:rsidP="00CE3A46">
            <w:pPr>
              <w:spacing w:after="0"/>
              <w:jc w:val="center"/>
              <w:rPr>
                <w:color w:val="auto"/>
              </w:rPr>
            </w:pPr>
            <w:r w:rsidRPr="00CE3A46">
              <w:rPr>
                <w:color w:val="auto"/>
              </w:rPr>
              <w:t>2.5</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1850F5B6" w14:textId="1DC43238"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74EF12A4" w14:textId="1E1FEE52" w:rsidR="00CE3A46" w:rsidRPr="00CE3A46" w:rsidRDefault="00CE3A46" w:rsidP="00CE3A46">
            <w:pPr>
              <w:spacing w:after="0"/>
              <w:jc w:val="center"/>
              <w:rPr>
                <w:color w:val="auto"/>
              </w:rPr>
            </w:pPr>
            <w:r w:rsidRPr="00CE3A46">
              <w:rPr>
                <w:color w:val="auto"/>
              </w:rPr>
              <w:t>1.9</w:t>
            </w:r>
          </w:p>
        </w:tc>
        <w:tc>
          <w:tcPr>
            <w:tcW w:w="239" w:type="dxa"/>
            <w:shd w:val="clear" w:color="auto" w:fill="auto"/>
            <w:vAlign w:val="center"/>
            <w:hideMark/>
          </w:tcPr>
          <w:p w14:paraId="12AB2161"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4B4DDF43"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209A5188" w14:textId="28F28E7C" w:rsidR="00CE3A46" w:rsidRPr="00D076AD" w:rsidRDefault="00CE3A46" w:rsidP="00CE3A46">
            <w:pPr>
              <w:spacing w:after="0"/>
              <w:rPr>
                <w:rFonts w:eastAsia="Times New Roman"/>
                <w:color w:val="auto"/>
                <w:lang w:eastAsia="en-AU"/>
              </w:rPr>
            </w:pPr>
            <w:r w:rsidRPr="00D076AD">
              <w:rPr>
                <w:color w:val="auto"/>
              </w:rPr>
              <w:t>Nauru</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5916A004" w14:textId="7E0C1E6E" w:rsidR="00CE3A46" w:rsidRPr="00D076AD" w:rsidRDefault="00CE3A46" w:rsidP="00CE3A46">
            <w:pPr>
              <w:spacing w:after="0"/>
              <w:rPr>
                <w:color w:val="auto"/>
              </w:rPr>
            </w:pPr>
            <w:r w:rsidRPr="00D076AD">
              <w:rPr>
                <w:color w:val="auto"/>
              </w:rPr>
              <w:t>Medium</w:t>
            </w:r>
          </w:p>
        </w:tc>
        <w:tc>
          <w:tcPr>
            <w:tcW w:w="709" w:type="dxa"/>
            <w:tcBorders>
              <w:top w:val="nil"/>
              <w:left w:val="nil"/>
              <w:bottom w:val="single" w:sz="4" w:space="0" w:color="333333"/>
              <w:right w:val="single" w:sz="4" w:space="0" w:color="333333"/>
            </w:tcBorders>
            <w:shd w:val="clear" w:color="auto" w:fill="auto"/>
            <w:noWrap/>
            <w:vAlign w:val="center"/>
          </w:tcPr>
          <w:p w14:paraId="6F62CA09" w14:textId="2261A56B" w:rsidR="00CE3A46" w:rsidRPr="00D076AD" w:rsidRDefault="00CE3A46" w:rsidP="00CE3A46">
            <w:pPr>
              <w:spacing w:after="0"/>
              <w:rPr>
                <w:rFonts w:eastAsia="Times New Roman"/>
                <w:color w:val="auto"/>
                <w:lang w:eastAsia="en-AU"/>
              </w:rPr>
            </w:pPr>
            <w:r w:rsidRPr="00D076AD">
              <w:rPr>
                <w:color w:val="auto"/>
              </w:rPr>
              <w:t>8.5</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3BEDBB19" w14:textId="6C26FBE3" w:rsidR="00CE3A46" w:rsidRPr="00D076AD" w:rsidRDefault="00CE3A46" w:rsidP="00CE3A46">
            <w:pPr>
              <w:spacing w:after="0"/>
              <w:jc w:val="center"/>
              <w:rPr>
                <w:rFonts w:eastAsia="Times New Roman"/>
                <w:color w:val="auto"/>
                <w:lang w:eastAsia="en-AU"/>
              </w:rPr>
            </w:pPr>
            <w:r w:rsidRPr="00D076AD">
              <w:rPr>
                <w:color w:val="auto"/>
              </w:rPr>
              <w:t>3.0</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2A2F836D" w14:textId="67E61088" w:rsidR="00CE3A46" w:rsidRPr="00D076AD" w:rsidRDefault="00CE3A46" w:rsidP="00CE3A46">
            <w:pPr>
              <w:spacing w:after="0"/>
              <w:jc w:val="center"/>
              <w:rPr>
                <w:rFonts w:eastAsia="Times New Roman"/>
                <w:color w:val="auto"/>
                <w:lang w:eastAsia="en-AU"/>
              </w:rPr>
            </w:pPr>
            <w:r w:rsidRPr="00D076AD">
              <w:rPr>
                <w:color w:val="auto"/>
              </w:rPr>
              <w:t>2.9</w:t>
            </w:r>
          </w:p>
        </w:tc>
        <w:tc>
          <w:tcPr>
            <w:tcW w:w="992" w:type="dxa"/>
            <w:tcBorders>
              <w:top w:val="single" w:sz="4" w:space="0" w:color="333333"/>
              <w:left w:val="nil"/>
              <w:bottom w:val="single" w:sz="4" w:space="0" w:color="333333"/>
              <w:right w:val="single" w:sz="4" w:space="0" w:color="333333"/>
            </w:tcBorders>
            <w:shd w:val="clear" w:color="auto" w:fill="auto"/>
            <w:noWrap/>
          </w:tcPr>
          <w:p w14:paraId="3912AFBB" w14:textId="7424CD83" w:rsidR="00CE3A46" w:rsidRPr="00CE3A46" w:rsidRDefault="00CE3A46" w:rsidP="00CE3A46">
            <w:pPr>
              <w:spacing w:after="0"/>
              <w:jc w:val="center"/>
              <w:rPr>
                <w:color w:val="auto"/>
              </w:rPr>
            </w:pPr>
            <w:r w:rsidRPr="00CE3A46">
              <w:rPr>
                <w:color w:val="auto"/>
              </w:rPr>
              <w:t>1.2</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1CEC771F" w14:textId="19DC9584" w:rsidR="00CE3A46" w:rsidRPr="00CE3A46" w:rsidRDefault="00CE3A46" w:rsidP="00CE3A46">
            <w:pPr>
              <w:spacing w:after="0"/>
              <w:jc w:val="center"/>
              <w:rPr>
                <w:color w:val="auto"/>
              </w:rPr>
            </w:pPr>
            <w:r w:rsidRPr="00CE3A46">
              <w:rPr>
                <w:color w:val="auto"/>
              </w:rPr>
              <w:t>4.7</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36A2A01A" w14:textId="1FB0A7D8" w:rsidR="00CE3A46" w:rsidRPr="00CE3A46" w:rsidRDefault="00CE3A46" w:rsidP="00CE3A46">
            <w:pPr>
              <w:spacing w:after="0"/>
              <w:jc w:val="center"/>
              <w:rPr>
                <w:color w:val="auto"/>
              </w:rPr>
            </w:pPr>
            <w:r w:rsidRPr="00CE3A46">
              <w:rPr>
                <w:color w:val="auto"/>
              </w:rPr>
              <w:t>4.0</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17E4D5FF" w14:textId="14B4D7D1" w:rsidR="00CE3A46" w:rsidRPr="00CE3A46" w:rsidRDefault="00CE3A46" w:rsidP="00CE3A46">
            <w:pPr>
              <w:spacing w:after="0"/>
              <w:jc w:val="center"/>
              <w:rPr>
                <w:color w:val="auto"/>
              </w:rPr>
            </w:pPr>
            <w:r w:rsidRPr="00CE3A46">
              <w:rPr>
                <w:color w:val="auto"/>
              </w:rPr>
              <w:t>2.2</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40F2553A" w14:textId="323C2DD2" w:rsidR="00CE3A46" w:rsidRPr="00CE3A46" w:rsidRDefault="00CE3A46" w:rsidP="00CE3A46">
            <w:pPr>
              <w:spacing w:after="0"/>
              <w:jc w:val="center"/>
              <w:rPr>
                <w:color w:val="auto"/>
              </w:rPr>
            </w:pPr>
            <w:r w:rsidRPr="00CE3A46">
              <w:rPr>
                <w:color w:val="auto"/>
              </w:rPr>
              <w:t>1.6</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2BBC77C0" w14:textId="7FB8E3B1"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784AC6E1" w14:textId="7A40D9B2" w:rsidR="00CE3A46" w:rsidRPr="00CE3A46" w:rsidRDefault="00CE3A46" w:rsidP="00CE3A46">
            <w:pPr>
              <w:spacing w:after="0"/>
              <w:jc w:val="center"/>
              <w:rPr>
                <w:color w:val="auto"/>
              </w:rPr>
            </w:pPr>
            <w:r w:rsidRPr="00CE3A46">
              <w:rPr>
                <w:color w:val="auto"/>
              </w:rPr>
              <w:t>1.5</w:t>
            </w:r>
          </w:p>
        </w:tc>
        <w:tc>
          <w:tcPr>
            <w:tcW w:w="239" w:type="dxa"/>
            <w:shd w:val="clear" w:color="auto" w:fill="auto"/>
            <w:vAlign w:val="center"/>
            <w:hideMark/>
          </w:tcPr>
          <w:p w14:paraId="67BCA68A"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23434C4E"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57AF319" w14:textId="4A6093B5" w:rsidR="00CE3A46" w:rsidRPr="00D076AD" w:rsidRDefault="00CE3A46" w:rsidP="00CE3A46">
            <w:pPr>
              <w:spacing w:after="0"/>
              <w:rPr>
                <w:rFonts w:eastAsia="Times New Roman"/>
                <w:color w:val="auto"/>
                <w:lang w:eastAsia="en-AU"/>
              </w:rPr>
            </w:pPr>
            <w:r w:rsidRPr="00D076AD">
              <w:rPr>
                <w:color w:val="auto"/>
              </w:rPr>
              <w:t>Malaysia</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74A2D968" w14:textId="0D94CAC3" w:rsidR="00CE3A46" w:rsidRPr="00D076AD" w:rsidRDefault="00CE3A46" w:rsidP="00CE3A46">
            <w:pPr>
              <w:spacing w:after="0"/>
              <w:rPr>
                <w:color w:val="auto"/>
              </w:rPr>
            </w:pPr>
            <w:r w:rsidRPr="00D076AD">
              <w:rPr>
                <w:color w:val="auto"/>
              </w:rPr>
              <w:t>Medium</w:t>
            </w:r>
          </w:p>
        </w:tc>
        <w:tc>
          <w:tcPr>
            <w:tcW w:w="709" w:type="dxa"/>
            <w:tcBorders>
              <w:top w:val="nil"/>
              <w:left w:val="nil"/>
              <w:bottom w:val="single" w:sz="4" w:space="0" w:color="333333"/>
              <w:right w:val="single" w:sz="4" w:space="0" w:color="333333"/>
            </w:tcBorders>
            <w:shd w:val="clear" w:color="auto" w:fill="auto"/>
            <w:noWrap/>
            <w:vAlign w:val="center"/>
          </w:tcPr>
          <w:p w14:paraId="357F7FBD" w14:textId="6EC5A343" w:rsidR="00CE3A46" w:rsidRPr="00D076AD" w:rsidRDefault="00CE3A46" w:rsidP="00CE3A46">
            <w:pPr>
              <w:spacing w:after="0"/>
              <w:rPr>
                <w:rFonts w:eastAsia="Times New Roman"/>
                <w:color w:val="auto"/>
                <w:lang w:eastAsia="en-AU"/>
              </w:rPr>
            </w:pPr>
            <w:r w:rsidRPr="00D076AD">
              <w:rPr>
                <w:color w:val="auto"/>
              </w:rPr>
              <w:t>8.4</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775450EB" w14:textId="5CF089B5" w:rsidR="00CE3A46" w:rsidRPr="00D076AD" w:rsidRDefault="00CE3A46" w:rsidP="00CE3A46">
            <w:pPr>
              <w:spacing w:after="0"/>
              <w:jc w:val="center"/>
              <w:rPr>
                <w:rFonts w:eastAsia="Times New Roman"/>
                <w:color w:val="auto"/>
                <w:lang w:eastAsia="en-AU"/>
              </w:rPr>
            </w:pPr>
            <w:r w:rsidRPr="00D076AD">
              <w:rPr>
                <w:color w:val="auto"/>
              </w:rPr>
              <w:t>2.8</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78B150B6" w14:textId="2FBBDB12" w:rsidR="00CE3A46" w:rsidRPr="00D076AD" w:rsidRDefault="00CE3A46" w:rsidP="00CE3A46">
            <w:pPr>
              <w:spacing w:after="0"/>
              <w:jc w:val="center"/>
              <w:rPr>
                <w:rFonts w:eastAsia="Times New Roman"/>
                <w:color w:val="auto"/>
                <w:lang w:eastAsia="en-AU"/>
              </w:rPr>
            </w:pPr>
            <w:r w:rsidRPr="00D076AD">
              <w:rPr>
                <w:color w:val="auto"/>
              </w:rPr>
              <w:t>3.0</w:t>
            </w:r>
          </w:p>
        </w:tc>
        <w:tc>
          <w:tcPr>
            <w:tcW w:w="992" w:type="dxa"/>
            <w:tcBorders>
              <w:top w:val="single" w:sz="4" w:space="0" w:color="333333"/>
              <w:left w:val="nil"/>
              <w:bottom w:val="single" w:sz="4" w:space="0" w:color="333333"/>
              <w:right w:val="single" w:sz="4" w:space="0" w:color="333333"/>
            </w:tcBorders>
            <w:shd w:val="clear" w:color="auto" w:fill="auto"/>
            <w:noWrap/>
          </w:tcPr>
          <w:p w14:paraId="4E1B9CE6" w14:textId="1DA9D124" w:rsidR="00CE3A46" w:rsidRPr="00CE3A46" w:rsidRDefault="00CE3A46" w:rsidP="00CE3A46">
            <w:pPr>
              <w:spacing w:after="0"/>
              <w:jc w:val="center"/>
              <w:rPr>
                <w:color w:val="auto"/>
              </w:rPr>
            </w:pPr>
            <w:r w:rsidRPr="00CE3A46">
              <w:rPr>
                <w:color w:val="auto"/>
              </w:rPr>
              <w:t>3.6</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145EFBF9" w14:textId="3DF19031" w:rsidR="00CE3A46" w:rsidRPr="00CE3A46" w:rsidRDefault="00CE3A46" w:rsidP="00CE3A46">
            <w:pPr>
              <w:spacing w:after="0"/>
              <w:jc w:val="center"/>
              <w:rPr>
                <w:color w:val="auto"/>
              </w:rPr>
            </w:pPr>
            <w:r w:rsidRPr="00CE3A46">
              <w:rPr>
                <w:color w:val="auto"/>
              </w:rPr>
              <w:t>1.9</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1AF53FD3" w14:textId="5953F26A" w:rsidR="00CE3A46" w:rsidRPr="00CE3A46" w:rsidRDefault="00CE3A46" w:rsidP="00CE3A46">
            <w:pPr>
              <w:spacing w:after="0"/>
              <w:jc w:val="center"/>
              <w:rPr>
                <w:color w:val="auto"/>
              </w:rPr>
            </w:pPr>
            <w:r w:rsidRPr="00CE3A46">
              <w:rPr>
                <w:color w:val="auto"/>
              </w:rPr>
              <w:t>1.6</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4D9E3640" w14:textId="656C9A54" w:rsidR="00CE3A46" w:rsidRPr="00CE3A46" w:rsidRDefault="00CE3A46" w:rsidP="00CE3A46">
            <w:pPr>
              <w:spacing w:after="0"/>
              <w:jc w:val="center"/>
              <w:rPr>
                <w:color w:val="auto"/>
              </w:rPr>
            </w:pPr>
            <w:r w:rsidRPr="00CE3A46">
              <w:rPr>
                <w:color w:val="auto"/>
              </w:rPr>
              <w:t>2.2</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499422B8" w14:textId="6FEF0EBA" w:rsidR="00CE3A46" w:rsidRPr="00CE3A46" w:rsidRDefault="00CE3A46" w:rsidP="00CE3A46">
            <w:pPr>
              <w:spacing w:after="0"/>
              <w:jc w:val="center"/>
              <w:rPr>
                <w:color w:val="auto"/>
              </w:rPr>
            </w:pPr>
            <w:r w:rsidRPr="00CE3A46">
              <w:rPr>
                <w:color w:val="auto"/>
              </w:rPr>
              <w:t>1.5</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5304D525" w14:textId="5C143F73"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7B71C048" w14:textId="30474125" w:rsidR="00CE3A46" w:rsidRPr="00CE3A46" w:rsidRDefault="00CE3A46" w:rsidP="00CE3A46">
            <w:pPr>
              <w:spacing w:after="0"/>
              <w:jc w:val="center"/>
              <w:rPr>
                <w:color w:val="auto"/>
              </w:rPr>
            </w:pPr>
            <w:r w:rsidRPr="00CE3A46">
              <w:rPr>
                <w:color w:val="auto"/>
              </w:rPr>
              <w:t>1.9</w:t>
            </w:r>
          </w:p>
        </w:tc>
        <w:tc>
          <w:tcPr>
            <w:tcW w:w="239" w:type="dxa"/>
            <w:shd w:val="clear" w:color="auto" w:fill="auto"/>
            <w:vAlign w:val="center"/>
            <w:hideMark/>
          </w:tcPr>
          <w:p w14:paraId="55EA942C"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3A9D4DA9"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67D30A86" w14:textId="469D7D07" w:rsidR="00CE3A46" w:rsidRPr="00D076AD" w:rsidRDefault="00CE3A46" w:rsidP="00CE3A46">
            <w:pPr>
              <w:spacing w:after="0"/>
              <w:rPr>
                <w:rFonts w:eastAsia="Times New Roman"/>
                <w:color w:val="auto"/>
                <w:lang w:eastAsia="en-AU"/>
              </w:rPr>
            </w:pPr>
            <w:r w:rsidRPr="00D076AD">
              <w:rPr>
                <w:color w:val="auto"/>
              </w:rPr>
              <w:t>Thailand</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67203EBD" w14:textId="5B124586" w:rsidR="00CE3A46" w:rsidRPr="00D076AD" w:rsidRDefault="00CE3A46" w:rsidP="00CE3A46">
            <w:pPr>
              <w:spacing w:after="0"/>
              <w:rPr>
                <w:color w:val="auto"/>
              </w:rPr>
            </w:pPr>
            <w:r w:rsidRPr="00D076AD">
              <w:rPr>
                <w:color w:val="auto"/>
              </w:rPr>
              <w:t>Medium</w:t>
            </w:r>
          </w:p>
        </w:tc>
        <w:tc>
          <w:tcPr>
            <w:tcW w:w="709" w:type="dxa"/>
            <w:tcBorders>
              <w:top w:val="nil"/>
              <w:left w:val="nil"/>
              <w:bottom w:val="single" w:sz="4" w:space="0" w:color="333333"/>
              <w:right w:val="single" w:sz="4" w:space="0" w:color="333333"/>
            </w:tcBorders>
            <w:shd w:val="clear" w:color="auto" w:fill="auto"/>
            <w:noWrap/>
            <w:vAlign w:val="center"/>
          </w:tcPr>
          <w:p w14:paraId="253787A9" w14:textId="53CE1650" w:rsidR="00CE3A46" w:rsidRPr="00D076AD" w:rsidRDefault="00CE3A46" w:rsidP="00CE3A46">
            <w:pPr>
              <w:spacing w:after="0"/>
              <w:rPr>
                <w:rFonts w:eastAsia="Times New Roman"/>
                <w:color w:val="auto"/>
                <w:lang w:eastAsia="en-AU"/>
              </w:rPr>
            </w:pPr>
            <w:r w:rsidRPr="00D076AD">
              <w:rPr>
                <w:color w:val="auto"/>
              </w:rPr>
              <w:t>8.3</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5E5C2546" w14:textId="02ACD513" w:rsidR="00CE3A46" w:rsidRPr="00D076AD" w:rsidRDefault="00CE3A46" w:rsidP="00CE3A46">
            <w:pPr>
              <w:spacing w:after="0"/>
              <w:jc w:val="center"/>
              <w:rPr>
                <w:rFonts w:eastAsia="Times New Roman"/>
                <w:color w:val="auto"/>
                <w:lang w:eastAsia="en-AU"/>
              </w:rPr>
            </w:pPr>
            <w:r w:rsidRPr="00D076AD">
              <w:rPr>
                <w:color w:val="auto"/>
              </w:rPr>
              <w:t>2.4</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100EE831" w14:textId="5A66CBF7" w:rsidR="00CE3A46" w:rsidRPr="00D076AD" w:rsidRDefault="00CE3A46" w:rsidP="00CE3A46">
            <w:pPr>
              <w:spacing w:after="0"/>
              <w:jc w:val="center"/>
              <w:rPr>
                <w:rFonts w:eastAsia="Times New Roman"/>
                <w:color w:val="auto"/>
                <w:lang w:eastAsia="en-AU"/>
              </w:rPr>
            </w:pPr>
            <w:r w:rsidRPr="00D076AD">
              <w:rPr>
                <w:color w:val="auto"/>
              </w:rPr>
              <w:t>3.4</w:t>
            </w:r>
          </w:p>
        </w:tc>
        <w:tc>
          <w:tcPr>
            <w:tcW w:w="992" w:type="dxa"/>
            <w:tcBorders>
              <w:top w:val="single" w:sz="4" w:space="0" w:color="333333"/>
              <w:left w:val="nil"/>
              <w:bottom w:val="single" w:sz="4" w:space="0" w:color="333333"/>
              <w:right w:val="single" w:sz="4" w:space="0" w:color="333333"/>
            </w:tcBorders>
            <w:shd w:val="clear" w:color="auto" w:fill="auto"/>
            <w:noWrap/>
          </w:tcPr>
          <w:p w14:paraId="20F1F179" w14:textId="29102B3E" w:rsidR="00CE3A46" w:rsidRPr="00CE3A46" w:rsidRDefault="00CE3A46" w:rsidP="00CE3A46">
            <w:pPr>
              <w:spacing w:after="0"/>
              <w:jc w:val="center"/>
              <w:rPr>
                <w:color w:val="auto"/>
              </w:rPr>
            </w:pPr>
            <w:r w:rsidRPr="00CE3A46">
              <w:rPr>
                <w:color w:val="auto"/>
              </w:rPr>
              <w:t>3.3</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7CC98353" w14:textId="7A372343" w:rsidR="00CE3A46" w:rsidRPr="00CE3A46" w:rsidRDefault="00CE3A46" w:rsidP="00CE3A46">
            <w:pPr>
              <w:spacing w:after="0"/>
              <w:jc w:val="center"/>
              <w:rPr>
                <w:color w:val="auto"/>
              </w:rPr>
            </w:pPr>
            <w:r w:rsidRPr="00CE3A46">
              <w:rPr>
                <w:color w:val="auto"/>
              </w:rPr>
              <w:t>1.5</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59BFF539" w14:textId="2282E140" w:rsidR="00CE3A46" w:rsidRPr="00CE3A46" w:rsidRDefault="00CE3A46" w:rsidP="00CE3A46">
            <w:pPr>
              <w:spacing w:after="0"/>
              <w:jc w:val="center"/>
              <w:rPr>
                <w:color w:val="auto"/>
              </w:rPr>
            </w:pPr>
            <w:r w:rsidRPr="00CE3A46">
              <w:rPr>
                <w:color w:val="auto"/>
              </w:rPr>
              <w:t>1.9</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342F5F1A" w14:textId="59A4562A" w:rsidR="00CE3A46" w:rsidRPr="00CE3A46" w:rsidRDefault="00CE3A46" w:rsidP="00CE3A46">
            <w:pPr>
              <w:spacing w:after="0"/>
              <w:jc w:val="center"/>
              <w:rPr>
                <w:color w:val="auto"/>
              </w:rPr>
            </w:pPr>
            <w:r w:rsidRPr="00CE3A46">
              <w:rPr>
                <w:color w:val="auto"/>
              </w:rPr>
              <w:t>3.1</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186048A8" w14:textId="27AF6BC4" w:rsidR="00CE3A46" w:rsidRPr="00CE3A46" w:rsidRDefault="00CE3A46" w:rsidP="00CE3A46">
            <w:pPr>
              <w:spacing w:after="0"/>
              <w:jc w:val="center"/>
              <w:rPr>
                <w:color w:val="auto"/>
              </w:rPr>
            </w:pPr>
            <w:r w:rsidRPr="00CE3A46">
              <w:rPr>
                <w:color w:val="auto"/>
              </w:rPr>
              <w:t>2.9</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40D01133" w14:textId="39A9FCCE"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0930A5E6" w14:textId="3DDBF50D" w:rsidR="00CE3A46" w:rsidRPr="00CE3A46" w:rsidRDefault="00CE3A46" w:rsidP="00CE3A46">
            <w:pPr>
              <w:spacing w:after="0"/>
              <w:jc w:val="center"/>
              <w:rPr>
                <w:color w:val="auto"/>
              </w:rPr>
            </w:pPr>
            <w:r w:rsidRPr="00CE3A46">
              <w:rPr>
                <w:color w:val="auto"/>
              </w:rPr>
              <w:t>2.2</w:t>
            </w:r>
          </w:p>
        </w:tc>
        <w:tc>
          <w:tcPr>
            <w:tcW w:w="239" w:type="dxa"/>
            <w:shd w:val="clear" w:color="auto" w:fill="auto"/>
            <w:vAlign w:val="center"/>
            <w:hideMark/>
          </w:tcPr>
          <w:p w14:paraId="2A593043"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71E8B7BB"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3FB925A2" w14:textId="7BB497D2" w:rsidR="00CE3A46" w:rsidRPr="00D076AD" w:rsidRDefault="00CE3A46" w:rsidP="00CE3A46">
            <w:pPr>
              <w:spacing w:after="0"/>
              <w:rPr>
                <w:rFonts w:eastAsia="Times New Roman"/>
                <w:color w:val="auto"/>
                <w:lang w:eastAsia="en-AU"/>
              </w:rPr>
            </w:pPr>
            <w:r w:rsidRPr="00D076AD">
              <w:rPr>
                <w:color w:val="auto"/>
              </w:rPr>
              <w:t>Niue</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206E2ABF" w14:textId="3E2C8110" w:rsidR="00CE3A46" w:rsidRPr="00D076AD" w:rsidRDefault="00CE3A46" w:rsidP="00CE3A46">
            <w:pPr>
              <w:spacing w:after="0"/>
              <w:rPr>
                <w:color w:val="auto"/>
              </w:rPr>
            </w:pPr>
            <w:r w:rsidRPr="00D076AD">
              <w:rPr>
                <w:color w:val="auto"/>
              </w:rPr>
              <w:t>Medium</w:t>
            </w:r>
          </w:p>
        </w:tc>
        <w:tc>
          <w:tcPr>
            <w:tcW w:w="709" w:type="dxa"/>
            <w:tcBorders>
              <w:top w:val="nil"/>
              <w:left w:val="nil"/>
              <w:bottom w:val="single" w:sz="4" w:space="0" w:color="333333"/>
              <w:right w:val="single" w:sz="4" w:space="0" w:color="333333"/>
            </w:tcBorders>
            <w:shd w:val="clear" w:color="auto" w:fill="auto"/>
            <w:noWrap/>
            <w:vAlign w:val="center"/>
          </w:tcPr>
          <w:p w14:paraId="73BB5926" w14:textId="1CA59673" w:rsidR="00CE3A46" w:rsidRPr="00D076AD" w:rsidRDefault="00CE3A46" w:rsidP="00CE3A46">
            <w:pPr>
              <w:spacing w:after="0"/>
              <w:rPr>
                <w:rFonts w:eastAsia="Times New Roman"/>
                <w:color w:val="auto"/>
                <w:lang w:eastAsia="en-AU"/>
              </w:rPr>
            </w:pPr>
            <w:r w:rsidRPr="00D076AD">
              <w:rPr>
                <w:color w:val="auto"/>
              </w:rPr>
              <w:t>8.1</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7557EEBA" w14:textId="0E59667A" w:rsidR="00CE3A46" w:rsidRPr="00D076AD" w:rsidRDefault="00CE3A46" w:rsidP="00CE3A46">
            <w:pPr>
              <w:spacing w:after="0"/>
              <w:jc w:val="center"/>
              <w:rPr>
                <w:rFonts w:eastAsia="Times New Roman"/>
                <w:color w:val="auto"/>
                <w:lang w:eastAsia="en-AU"/>
              </w:rPr>
            </w:pPr>
            <w:r w:rsidRPr="00D076AD">
              <w:rPr>
                <w:color w:val="auto"/>
              </w:rPr>
              <w:t>2.1</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496E5360" w14:textId="6FF688B5" w:rsidR="00CE3A46" w:rsidRPr="00D076AD" w:rsidRDefault="00CE3A46" w:rsidP="00CE3A46">
            <w:pPr>
              <w:spacing w:after="0"/>
              <w:jc w:val="center"/>
              <w:rPr>
                <w:rFonts w:eastAsia="Times New Roman"/>
                <w:color w:val="auto"/>
                <w:lang w:eastAsia="en-AU"/>
              </w:rPr>
            </w:pPr>
            <w:r w:rsidRPr="00D076AD">
              <w:rPr>
                <w:color w:val="auto"/>
              </w:rPr>
              <w:t>3.9</w:t>
            </w:r>
          </w:p>
        </w:tc>
        <w:tc>
          <w:tcPr>
            <w:tcW w:w="992" w:type="dxa"/>
            <w:tcBorders>
              <w:top w:val="single" w:sz="4" w:space="0" w:color="333333"/>
              <w:left w:val="nil"/>
              <w:bottom w:val="single" w:sz="4" w:space="0" w:color="333333"/>
              <w:right w:val="single" w:sz="4" w:space="0" w:color="333333"/>
            </w:tcBorders>
            <w:shd w:val="clear" w:color="auto" w:fill="auto"/>
            <w:noWrap/>
          </w:tcPr>
          <w:p w14:paraId="06B8B6B5" w14:textId="607914D7" w:rsidR="00CE3A46" w:rsidRPr="00CE3A46" w:rsidRDefault="00CE3A46" w:rsidP="00CE3A46">
            <w:pPr>
              <w:spacing w:after="0"/>
              <w:jc w:val="center"/>
              <w:rPr>
                <w:color w:val="auto"/>
              </w:rPr>
            </w:pPr>
            <w:r w:rsidRPr="00CE3A46">
              <w:rPr>
                <w:color w:val="auto"/>
              </w:rPr>
              <w:t>2.0</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7745FBDE" w14:textId="3ABCCD25" w:rsidR="00CE3A46" w:rsidRPr="00CE3A46" w:rsidRDefault="00CE3A46" w:rsidP="00CE3A46">
            <w:pPr>
              <w:spacing w:after="0"/>
              <w:jc w:val="center"/>
              <w:rPr>
                <w:color w:val="auto"/>
              </w:rPr>
            </w:pPr>
            <w:r w:rsidRPr="00CE3A46">
              <w:rPr>
                <w:color w:val="auto"/>
              </w:rPr>
              <w:t>2.1</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52DC63BE" w14:textId="2131D822" w:rsidR="00CE3A46" w:rsidRPr="00CE3A46" w:rsidRDefault="00CE3A46" w:rsidP="00CE3A46">
            <w:pPr>
              <w:spacing w:after="0"/>
              <w:jc w:val="center"/>
              <w:rPr>
                <w:color w:val="auto"/>
              </w:rPr>
            </w:pPr>
            <w:r w:rsidRPr="00CE3A46">
              <w:rPr>
                <w:color w:val="auto"/>
              </w:rPr>
              <w:t>2.5</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6BEB3FAB" w14:textId="18FE3216" w:rsidR="00CE3A46" w:rsidRPr="00CE3A46" w:rsidRDefault="00CE3A46" w:rsidP="00CE3A46">
            <w:pPr>
              <w:spacing w:after="0"/>
              <w:jc w:val="center"/>
              <w:rPr>
                <w:color w:val="auto"/>
              </w:rPr>
            </w:pPr>
            <w:r w:rsidRPr="00CE3A46">
              <w:rPr>
                <w:color w:val="auto"/>
              </w:rPr>
              <w:t>1.7</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3AF6868C" w14:textId="6BF687D8" w:rsidR="00CE3A46" w:rsidRPr="00CE3A46" w:rsidRDefault="00CE3A46" w:rsidP="00CE3A46">
            <w:pPr>
              <w:spacing w:after="0"/>
              <w:jc w:val="center"/>
              <w:rPr>
                <w:color w:val="auto"/>
              </w:rPr>
            </w:pPr>
            <w:r w:rsidRPr="00CE3A46">
              <w:rPr>
                <w:color w:val="auto"/>
              </w:rPr>
              <w:t>2.1</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1E94736A" w14:textId="346C4D45"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401C7915" w14:textId="71B21C93" w:rsidR="00CE3A46" w:rsidRPr="00CE3A46" w:rsidRDefault="00CE3A46" w:rsidP="00CE3A46">
            <w:pPr>
              <w:spacing w:after="0"/>
              <w:jc w:val="center"/>
              <w:rPr>
                <w:color w:val="auto"/>
              </w:rPr>
            </w:pPr>
            <w:r w:rsidRPr="00CE3A46">
              <w:rPr>
                <w:color w:val="auto"/>
              </w:rPr>
              <w:t>5.0</w:t>
            </w:r>
          </w:p>
        </w:tc>
        <w:tc>
          <w:tcPr>
            <w:tcW w:w="239" w:type="dxa"/>
            <w:shd w:val="clear" w:color="auto" w:fill="auto"/>
            <w:vAlign w:val="center"/>
            <w:hideMark/>
          </w:tcPr>
          <w:p w14:paraId="1F5DF0B9"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6079AB89"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7DD6890" w14:textId="2DA84533" w:rsidR="00CE3A46" w:rsidRPr="00D076AD" w:rsidRDefault="00CE3A46" w:rsidP="00CE3A46">
            <w:pPr>
              <w:spacing w:after="0"/>
              <w:rPr>
                <w:rFonts w:eastAsia="Times New Roman"/>
                <w:color w:val="auto"/>
                <w:lang w:eastAsia="en-AU"/>
              </w:rPr>
            </w:pPr>
            <w:r w:rsidRPr="00D076AD">
              <w:rPr>
                <w:color w:val="auto"/>
              </w:rPr>
              <w:t>Cook Islands</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41F3D95F" w14:textId="5B459DD4" w:rsidR="00CE3A46" w:rsidRPr="00D076AD" w:rsidRDefault="00CE3A46" w:rsidP="00CE3A46">
            <w:pPr>
              <w:spacing w:after="0"/>
              <w:rPr>
                <w:color w:val="auto"/>
              </w:rPr>
            </w:pPr>
            <w:r w:rsidRPr="00D076AD">
              <w:rPr>
                <w:color w:val="auto"/>
              </w:rPr>
              <w:t>Medium</w:t>
            </w:r>
          </w:p>
        </w:tc>
        <w:tc>
          <w:tcPr>
            <w:tcW w:w="709" w:type="dxa"/>
            <w:tcBorders>
              <w:top w:val="nil"/>
              <w:left w:val="nil"/>
              <w:bottom w:val="single" w:sz="4" w:space="0" w:color="333333"/>
              <w:right w:val="single" w:sz="4" w:space="0" w:color="333333"/>
            </w:tcBorders>
            <w:shd w:val="clear" w:color="auto" w:fill="auto"/>
            <w:noWrap/>
            <w:vAlign w:val="center"/>
          </w:tcPr>
          <w:p w14:paraId="52BCC0AB" w14:textId="4F5F0094" w:rsidR="00CE3A46" w:rsidRPr="00D076AD" w:rsidRDefault="00CE3A46" w:rsidP="00CE3A46">
            <w:pPr>
              <w:spacing w:after="0"/>
              <w:rPr>
                <w:rFonts w:eastAsia="Times New Roman"/>
                <w:color w:val="auto"/>
                <w:lang w:eastAsia="en-AU"/>
              </w:rPr>
            </w:pPr>
            <w:r w:rsidRPr="00D076AD">
              <w:rPr>
                <w:color w:val="auto"/>
              </w:rPr>
              <w:t>8.1</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2E383072" w14:textId="1EE33275" w:rsidR="00CE3A46" w:rsidRPr="00D076AD" w:rsidRDefault="00CE3A46" w:rsidP="00CE3A46">
            <w:pPr>
              <w:spacing w:after="0"/>
              <w:jc w:val="center"/>
              <w:rPr>
                <w:rFonts w:eastAsia="Times New Roman"/>
                <w:color w:val="auto"/>
                <w:lang w:eastAsia="en-AU"/>
              </w:rPr>
            </w:pPr>
            <w:r w:rsidRPr="00D076AD">
              <w:rPr>
                <w:color w:val="auto"/>
              </w:rPr>
              <w:t>2.0</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3CA75477" w14:textId="3D8C70BA" w:rsidR="00CE3A46" w:rsidRPr="00D076AD" w:rsidRDefault="00CE3A46" w:rsidP="00CE3A46">
            <w:pPr>
              <w:spacing w:after="0"/>
              <w:jc w:val="center"/>
              <w:rPr>
                <w:rFonts w:eastAsia="Times New Roman"/>
                <w:color w:val="auto"/>
                <w:lang w:eastAsia="en-AU"/>
              </w:rPr>
            </w:pPr>
            <w:r w:rsidRPr="00D076AD">
              <w:rPr>
                <w:color w:val="auto"/>
              </w:rPr>
              <w:t>4.0</w:t>
            </w:r>
          </w:p>
        </w:tc>
        <w:tc>
          <w:tcPr>
            <w:tcW w:w="992" w:type="dxa"/>
            <w:tcBorders>
              <w:top w:val="single" w:sz="4" w:space="0" w:color="333333"/>
              <w:left w:val="nil"/>
              <w:bottom w:val="single" w:sz="4" w:space="0" w:color="333333"/>
              <w:right w:val="single" w:sz="4" w:space="0" w:color="333333"/>
            </w:tcBorders>
            <w:shd w:val="clear" w:color="auto" w:fill="auto"/>
            <w:noWrap/>
          </w:tcPr>
          <w:p w14:paraId="5574C3A7" w14:textId="50F2D87D" w:rsidR="00CE3A46" w:rsidRPr="00CE3A46" w:rsidRDefault="00CE3A46" w:rsidP="00CE3A46">
            <w:pPr>
              <w:spacing w:after="0"/>
              <w:jc w:val="center"/>
              <w:rPr>
                <w:color w:val="auto"/>
              </w:rPr>
            </w:pPr>
            <w:r w:rsidRPr="00CE3A46">
              <w:rPr>
                <w:color w:val="auto"/>
              </w:rPr>
              <w:t>1.0</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7B82C2BE" w14:textId="23FC9701" w:rsidR="00CE3A46" w:rsidRPr="00CE3A46" w:rsidRDefault="00CE3A46" w:rsidP="00CE3A46">
            <w:pPr>
              <w:spacing w:after="0"/>
              <w:jc w:val="center"/>
              <w:rPr>
                <w:color w:val="auto"/>
              </w:rPr>
            </w:pPr>
            <w:r w:rsidRPr="00CE3A46">
              <w:rPr>
                <w:color w:val="auto"/>
              </w:rPr>
              <w:t>3.0</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6275F47F" w14:textId="3FB86CCD" w:rsidR="00CE3A46" w:rsidRPr="00CE3A46" w:rsidRDefault="00CE3A46" w:rsidP="00CE3A46">
            <w:pPr>
              <w:spacing w:after="0"/>
              <w:jc w:val="center"/>
              <w:rPr>
                <w:color w:val="auto"/>
              </w:rPr>
            </w:pPr>
            <w:r w:rsidRPr="00CE3A46">
              <w:rPr>
                <w:color w:val="auto"/>
              </w:rPr>
              <w:t>2.7</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6231A78B" w14:textId="32CE9F82" w:rsidR="00CE3A46" w:rsidRPr="00CE3A46" w:rsidRDefault="00CE3A46" w:rsidP="00CE3A46">
            <w:pPr>
              <w:spacing w:after="0"/>
              <w:jc w:val="center"/>
              <w:rPr>
                <w:color w:val="auto"/>
              </w:rPr>
            </w:pPr>
            <w:r w:rsidRPr="00CE3A46">
              <w:rPr>
                <w:color w:val="auto"/>
              </w:rPr>
              <w:t>3.1</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25F55F8E" w14:textId="4E94E930" w:rsidR="00CE3A46" w:rsidRPr="00CE3A46" w:rsidRDefault="00CE3A46" w:rsidP="00CE3A46">
            <w:pPr>
              <w:spacing w:after="0"/>
              <w:jc w:val="center"/>
              <w:rPr>
                <w:color w:val="auto"/>
              </w:rPr>
            </w:pPr>
            <w:r w:rsidRPr="00CE3A46">
              <w:rPr>
                <w:color w:val="auto"/>
              </w:rPr>
              <w:t>2.9</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515F9F2E" w14:textId="68979B6F"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5C6A8452" w14:textId="0718F6E4" w:rsidR="00CE3A46" w:rsidRPr="00CE3A46" w:rsidRDefault="00CE3A46" w:rsidP="00CE3A46">
            <w:pPr>
              <w:spacing w:after="0"/>
              <w:jc w:val="center"/>
              <w:rPr>
                <w:color w:val="auto"/>
              </w:rPr>
            </w:pPr>
            <w:r w:rsidRPr="00CE3A46">
              <w:rPr>
                <w:color w:val="auto"/>
              </w:rPr>
              <w:t>3.9</w:t>
            </w:r>
          </w:p>
        </w:tc>
        <w:tc>
          <w:tcPr>
            <w:tcW w:w="239" w:type="dxa"/>
            <w:shd w:val="clear" w:color="auto" w:fill="auto"/>
            <w:vAlign w:val="center"/>
            <w:hideMark/>
          </w:tcPr>
          <w:p w14:paraId="7D632B1B"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5EBEAE90"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36B68302" w14:textId="091F540B" w:rsidR="00CE3A46" w:rsidRPr="00D076AD" w:rsidRDefault="00CE3A46" w:rsidP="00CE3A46">
            <w:pPr>
              <w:spacing w:after="0"/>
              <w:rPr>
                <w:rFonts w:eastAsia="Times New Roman"/>
                <w:color w:val="auto"/>
                <w:lang w:eastAsia="en-AU"/>
              </w:rPr>
            </w:pPr>
            <w:r w:rsidRPr="00D076AD">
              <w:rPr>
                <w:color w:val="auto"/>
              </w:rPr>
              <w:t>Palau</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31BFB7C5" w14:textId="78E52F8B" w:rsidR="00CE3A46" w:rsidRPr="00D076AD" w:rsidRDefault="00CE3A46" w:rsidP="00CE3A46">
            <w:pPr>
              <w:spacing w:after="0"/>
              <w:rPr>
                <w:color w:val="auto"/>
              </w:rPr>
            </w:pPr>
            <w:r w:rsidRPr="00D076AD">
              <w:rPr>
                <w:color w:val="auto"/>
              </w:rPr>
              <w:t>Medium</w:t>
            </w:r>
          </w:p>
        </w:tc>
        <w:tc>
          <w:tcPr>
            <w:tcW w:w="709" w:type="dxa"/>
            <w:tcBorders>
              <w:top w:val="nil"/>
              <w:left w:val="nil"/>
              <w:bottom w:val="single" w:sz="4" w:space="0" w:color="333333"/>
              <w:right w:val="single" w:sz="4" w:space="0" w:color="333333"/>
            </w:tcBorders>
            <w:shd w:val="clear" w:color="auto" w:fill="auto"/>
            <w:noWrap/>
            <w:vAlign w:val="center"/>
          </w:tcPr>
          <w:p w14:paraId="3655A523" w14:textId="2CF32B53" w:rsidR="00CE3A46" w:rsidRPr="00D076AD" w:rsidRDefault="00CE3A46" w:rsidP="00CE3A46">
            <w:pPr>
              <w:spacing w:after="0"/>
              <w:rPr>
                <w:rFonts w:eastAsia="Times New Roman"/>
                <w:color w:val="auto"/>
                <w:lang w:eastAsia="en-AU"/>
              </w:rPr>
            </w:pPr>
            <w:r w:rsidRPr="00D076AD">
              <w:rPr>
                <w:color w:val="auto"/>
              </w:rPr>
              <w:t>7.9</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0EACFDDE" w14:textId="188B64FA" w:rsidR="00CE3A46" w:rsidRPr="00D076AD" w:rsidRDefault="00CE3A46" w:rsidP="00CE3A46">
            <w:pPr>
              <w:spacing w:after="0"/>
              <w:jc w:val="center"/>
              <w:rPr>
                <w:rFonts w:eastAsia="Times New Roman"/>
                <w:color w:val="auto"/>
                <w:lang w:eastAsia="en-AU"/>
              </w:rPr>
            </w:pPr>
            <w:r w:rsidRPr="00D076AD">
              <w:rPr>
                <w:color w:val="auto"/>
              </w:rPr>
              <w:t>2.4</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1D93F26F" w14:textId="3B59BE2F" w:rsidR="00CE3A46" w:rsidRPr="00D076AD" w:rsidRDefault="00CE3A46" w:rsidP="00CE3A46">
            <w:pPr>
              <w:spacing w:after="0"/>
              <w:jc w:val="center"/>
              <w:rPr>
                <w:rFonts w:eastAsia="Times New Roman"/>
                <w:color w:val="auto"/>
                <w:lang w:eastAsia="en-AU"/>
              </w:rPr>
            </w:pPr>
            <w:r w:rsidRPr="00D076AD">
              <w:rPr>
                <w:color w:val="auto"/>
              </w:rPr>
              <w:t>3.3</w:t>
            </w:r>
          </w:p>
        </w:tc>
        <w:tc>
          <w:tcPr>
            <w:tcW w:w="992" w:type="dxa"/>
            <w:tcBorders>
              <w:top w:val="single" w:sz="4" w:space="0" w:color="333333"/>
              <w:left w:val="nil"/>
              <w:bottom w:val="single" w:sz="4" w:space="0" w:color="333333"/>
              <w:right w:val="single" w:sz="4" w:space="0" w:color="333333"/>
            </w:tcBorders>
            <w:shd w:val="clear" w:color="auto" w:fill="auto"/>
            <w:noWrap/>
          </w:tcPr>
          <w:p w14:paraId="548E7BBE" w14:textId="79223B53" w:rsidR="00CE3A46" w:rsidRPr="00CE3A46" w:rsidRDefault="00CE3A46" w:rsidP="00CE3A46">
            <w:pPr>
              <w:spacing w:after="0"/>
              <w:jc w:val="center"/>
              <w:rPr>
                <w:color w:val="auto"/>
              </w:rPr>
            </w:pPr>
            <w:r w:rsidRPr="00CE3A46">
              <w:rPr>
                <w:color w:val="auto"/>
              </w:rPr>
              <w:t>2.7</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792E0010" w14:textId="20B51464" w:rsidR="00CE3A46" w:rsidRPr="00CE3A46" w:rsidRDefault="00CE3A46" w:rsidP="00CE3A46">
            <w:pPr>
              <w:spacing w:after="0"/>
              <w:jc w:val="center"/>
              <w:rPr>
                <w:color w:val="auto"/>
              </w:rPr>
            </w:pPr>
            <w:r w:rsidRPr="00CE3A46">
              <w:rPr>
                <w:color w:val="auto"/>
              </w:rPr>
              <w:t>2.0</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74C5500F" w14:textId="5CBCF9A2" w:rsidR="00CE3A46" w:rsidRPr="00CE3A46" w:rsidRDefault="00CE3A46" w:rsidP="00CE3A46">
            <w:pPr>
              <w:spacing w:after="0"/>
              <w:jc w:val="center"/>
              <w:rPr>
                <w:color w:val="auto"/>
              </w:rPr>
            </w:pPr>
            <w:r w:rsidRPr="00CE3A46">
              <w:rPr>
                <w:color w:val="auto"/>
              </w:rPr>
              <w:t>1.4</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509D3F2B" w14:textId="16984D77" w:rsidR="00CE3A46" w:rsidRPr="00CE3A46" w:rsidRDefault="00CE3A46" w:rsidP="00CE3A46">
            <w:pPr>
              <w:spacing w:after="0"/>
              <w:jc w:val="center"/>
              <w:rPr>
                <w:color w:val="auto"/>
              </w:rPr>
            </w:pPr>
            <w:r w:rsidRPr="00CE3A46">
              <w:rPr>
                <w:color w:val="auto"/>
              </w:rPr>
              <w:t>2.4</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3B8D27DE" w14:textId="2152521B" w:rsidR="00CE3A46" w:rsidRPr="00CE3A46" w:rsidRDefault="00CE3A46" w:rsidP="00CE3A46">
            <w:pPr>
              <w:spacing w:after="0"/>
              <w:jc w:val="center"/>
              <w:rPr>
                <w:color w:val="auto"/>
              </w:rPr>
            </w:pPr>
            <w:r w:rsidRPr="00CE3A46">
              <w:rPr>
                <w:color w:val="auto"/>
              </w:rPr>
              <w:t>1.8</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313F41EC" w14:textId="0D5FA86A"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62D0BF24" w14:textId="2C428249" w:rsidR="00CE3A46" w:rsidRPr="00CE3A46" w:rsidRDefault="00CE3A46" w:rsidP="00CE3A46">
            <w:pPr>
              <w:spacing w:after="0"/>
              <w:jc w:val="center"/>
              <w:rPr>
                <w:color w:val="auto"/>
              </w:rPr>
            </w:pPr>
            <w:r w:rsidRPr="00CE3A46">
              <w:rPr>
                <w:color w:val="auto"/>
              </w:rPr>
              <w:t>2.5</w:t>
            </w:r>
          </w:p>
        </w:tc>
        <w:tc>
          <w:tcPr>
            <w:tcW w:w="239" w:type="dxa"/>
            <w:shd w:val="clear" w:color="auto" w:fill="auto"/>
            <w:vAlign w:val="center"/>
            <w:hideMark/>
          </w:tcPr>
          <w:p w14:paraId="7D41C20F"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665EDBA6"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543BA08E" w14:textId="06C960E7" w:rsidR="00CE3A46" w:rsidRPr="00D076AD" w:rsidRDefault="00CE3A46" w:rsidP="00CE3A46">
            <w:pPr>
              <w:spacing w:after="0"/>
              <w:rPr>
                <w:rFonts w:eastAsia="Times New Roman"/>
                <w:color w:val="auto"/>
                <w:lang w:eastAsia="en-AU"/>
              </w:rPr>
            </w:pPr>
            <w:r w:rsidRPr="00D076AD">
              <w:rPr>
                <w:color w:val="auto"/>
              </w:rPr>
              <w:t>Kazakhstan</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66847638" w14:textId="3817028D" w:rsidR="00CE3A46" w:rsidRPr="00D076AD" w:rsidRDefault="00CE3A46" w:rsidP="00CE3A46">
            <w:pPr>
              <w:spacing w:after="0"/>
              <w:rPr>
                <w:color w:val="auto"/>
              </w:rPr>
            </w:pPr>
            <w:r w:rsidRPr="00D076AD">
              <w:rPr>
                <w:color w:val="auto"/>
              </w:rPr>
              <w:t>Low</w:t>
            </w:r>
          </w:p>
        </w:tc>
        <w:tc>
          <w:tcPr>
            <w:tcW w:w="709" w:type="dxa"/>
            <w:tcBorders>
              <w:top w:val="nil"/>
              <w:left w:val="nil"/>
              <w:bottom w:val="single" w:sz="4" w:space="0" w:color="333333"/>
              <w:right w:val="single" w:sz="4" w:space="0" w:color="333333"/>
            </w:tcBorders>
            <w:shd w:val="clear" w:color="auto" w:fill="auto"/>
            <w:noWrap/>
            <w:vAlign w:val="center"/>
          </w:tcPr>
          <w:p w14:paraId="156BDEA2" w14:textId="07DA857A" w:rsidR="00CE3A46" w:rsidRPr="00D076AD" w:rsidRDefault="00CE3A46" w:rsidP="00CE3A46">
            <w:pPr>
              <w:spacing w:after="0"/>
              <w:rPr>
                <w:rFonts w:eastAsia="Times New Roman"/>
                <w:color w:val="auto"/>
                <w:lang w:eastAsia="en-AU"/>
              </w:rPr>
            </w:pPr>
            <w:r w:rsidRPr="00D076AD">
              <w:rPr>
                <w:color w:val="auto"/>
              </w:rPr>
              <w:t>6.8</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6648A1D3" w14:textId="499452B8" w:rsidR="00CE3A46" w:rsidRPr="00D076AD" w:rsidRDefault="00CE3A46" w:rsidP="00CE3A46">
            <w:pPr>
              <w:spacing w:after="0"/>
              <w:jc w:val="center"/>
              <w:rPr>
                <w:rFonts w:eastAsia="Times New Roman"/>
                <w:color w:val="auto"/>
                <w:lang w:eastAsia="en-AU"/>
              </w:rPr>
            </w:pPr>
            <w:r w:rsidRPr="00D076AD">
              <w:rPr>
                <w:color w:val="auto"/>
              </w:rPr>
              <w:t>2.2</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0B75059B" w14:textId="6DA8C010" w:rsidR="00CE3A46" w:rsidRPr="00D076AD" w:rsidRDefault="00CE3A46" w:rsidP="00CE3A46">
            <w:pPr>
              <w:spacing w:after="0"/>
              <w:jc w:val="center"/>
              <w:rPr>
                <w:rFonts w:eastAsia="Times New Roman"/>
                <w:color w:val="auto"/>
                <w:lang w:eastAsia="en-AU"/>
              </w:rPr>
            </w:pPr>
            <w:r w:rsidRPr="00D076AD">
              <w:rPr>
                <w:color w:val="auto"/>
              </w:rPr>
              <w:t>3.1</w:t>
            </w:r>
          </w:p>
        </w:tc>
        <w:tc>
          <w:tcPr>
            <w:tcW w:w="992" w:type="dxa"/>
            <w:tcBorders>
              <w:top w:val="single" w:sz="4" w:space="0" w:color="333333"/>
              <w:left w:val="nil"/>
              <w:bottom w:val="single" w:sz="4" w:space="0" w:color="333333"/>
              <w:right w:val="single" w:sz="4" w:space="0" w:color="333333"/>
            </w:tcBorders>
            <w:shd w:val="clear" w:color="auto" w:fill="auto"/>
            <w:noWrap/>
          </w:tcPr>
          <w:p w14:paraId="6A0C414B" w14:textId="51B0DD52" w:rsidR="00CE3A46" w:rsidRPr="00CE3A46" w:rsidRDefault="00CE3A46" w:rsidP="00CE3A46">
            <w:pPr>
              <w:spacing w:after="0"/>
              <w:jc w:val="center"/>
              <w:rPr>
                <w:color w:val="auto"/>
              </w:rPr>
            </w:pPr>
            <w:r w:rsidRPr="00CE3A46">
              <w:rPr>
                <w:color w:val="auto"/>
              </w:rPr>
              <w:t>3.3</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7331D2A7" w14:textId="475FBB18" w:rsidR="00CE3A46" w:rsidRPr="00CE3A46" w:rsidRDefault="00CE3A46" w:rsidP="00CE3A46">
            <w:pPr>
              <w:spacing w:after="0"/>
              <w:jc w:val="center"/>
              <w:rPr>
                <w:color w:val="auto"/>
              </w:rPr>
            </w:pPr>
            <w:r w:rsidRPr="00CE3A46">
              <w:rPr>
                <w:color w:val="auto"/>
              </w:rPr>
              <w:t>1.1</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596B4CE6" w14:textId="1BB3CE78" w:rsidR="00CE3A46" w:rsidRPr="00CE3A46" w:rsidRDefault="00CE3A46" w:rsidP="00CE3A46">
            <w:pPr>
              <w:spacing w:after="0"/>
              <w:jc w:val="center"/>
              <w:rPr>
                <w:color w:val="auto"/>
              </w:rPr>
            </w:pPr>
            <w:r w:rsidRPr="00CE3A46">
              <w:rPr>
                <w:color w:val="auto"/>
              </w:rPr>
              <w:t>1.7</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0471F3B1" w14:textId="391D9F69" w:rsidR="00CE3A46" w:rsidRPr="00CE3A46" w:rsidRDefault="00CE3A46" w:rsidP="00CE3A46">
            <w:pPr>
              <w:spacing w:after="0"/>
              <w:jc w:val="center"/>
              <w:rPr>
                <w:color w:val="auto"/>
              </w:rPr>
            </w:pPr>
            <w:r w:rsidRPr="00CE3A46">
              <w:rPr>
                <w:color w:val="auto"/>
              </w:rPr>
              <w:t>2.5</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229E8281" w14:textId="0C12394E" w:rsidR="00CE3A46" w:rsidRPr="00CE3A46" w:rsidRDefault="00CE3A46" w:rsidP="00CE3A46">
            <w:pPr>
              <w:spacing w:after="0"/>
              <w:jc w:val="center"/>
              <w:rPr>
                <w:color w:val="auto"/>
              </w:rPr>
            </w:pPr>
            <w:r w:rsidRPr="00CE3A46">
              <w:rPr>
                <w:color w:val="auto"/>
              </w:rPr>
              <w:t>2.1</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360140FE" w14:textId="09AD17C0"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6927179A" w14:textId="2FD8A5E5" w:rsidR="00CE3A46" w:rsidRPr="00CE3A46" w:rsidRDefault="00CE3A46" w:rsidP="00CE3A46">
            <w:pPr>
              <w:spacing w:after="0"/>
              <w:jc w:val="center"/>
              <w:rPr>
                <w:color w:val="auto"/>
              </w:rPr>
            </w:pPr>
            <w:r w:rsidRPr="00CE3A46">
              <w:rPr>
                <w:color w:val="auto"/>
              </w:rPr>
              <w:t>1.8</w:t>
            </w:r>
          </w:p>
        </w:tc>
        <w:tc>
          <w:tcPr>
            <w:tcW w:w="239" w:type="dxa"/>
            <w:shd w:val="clear" w:color="auto" w:fill="auto"/>
            <w:vAlign w:val="center"/>
            <w:hideMark/>
          </w:tcPr>
          <w:p w14:paraId="1BC16C27"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3BC035C3"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601D5415" w14:textId="1E9FC046" w:rsidR="00CE3A46" w:rsidRPr="00D076AD" w:rsidRDefault="00CE3A46" w:rsidP="00CE3A46">
            <w:pPr>
              <w:spacing w:after="0"/>
              <w:rPr>
                <w:rFonts w:eastAsia="Times New Roman"/>
                <w:color w:val="auto"/>
                <w:lang w:eastAsia="en-AU"/>
              </w:rPr>
            </w:pPr>
            <w:r w:rsidRPr="00D076AD">
              <w:rPr>
                <w:color w:val="auto"/>
              </w:rPr>
              <w:t>Brunei Darussalam</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6DDB94B3" w14:textId="7AC0F1B8" w:rsidR="00CE3A46" w:rsidRPr="00D076AD" w:rsidRDefault="00CE3A46" w:rsidP="00CE3A46">
            <w:pPr>
              <w:spacing w:after="0"/>
              <w:rPr>
                <w:color w:val="auto"/>
              </w:rPr>
            </w:pPr>
            <w:r w:rsidRPr="00D076AD">
              <w:rPr>
                <w:color w:val="auto"/>
              </w:rPr>
              <w:t>Low</w:t>
            </w:r>
          </w:p>
        </w:tc>
        <w:tc>
          <w:tcPr>
            <w:tcW w:w="709" w:type="dxa"/>
            <w:tcBorders>
              <w:top w:val="nil"/>
              <w:left w:val="nil"/>
              <w:bottom w:val="single" w:sz="4" w:space="0" w:color="333333"/>
              <w:right w:val="single" w:sz="4" w:space="0" w:color="333333"/>
            </w:tcBorders>
            <w:shd w:val="clear" w:color="auto" w:fill="auto"/>
            <w:noWrap/>
            <w:vAlign w:val="center"/>
          </w:tcPr>
          <w:p w14:paraId="7EE94EEC" w14:textId="20EE5F59" w:rsidR="00CE3A46" w:rsidRPr="00D076AD" w:rsidRDefault="00CE3A46" w:rsidP="00CE3A46">
            <w:pPr>
              <w:spacing w:after="0"/>
              <w:rPr>
                <w:rFonts w:eastAsia="Times New Roman"/>
                <w:color w:val="auto"/>
                <w:lang w:eastAsia="en-AU"/>
              </w:rPr>
            </w:pPr>
            <w:r w:rsidRPr="00D076AD">
              <w:rPr>
                <w:color w:val="auto"/>
              </w:rPr>
              <w:t>6.7</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5785BCC7" w14:textId="0B173DCB" w:rsidR="00CE3A46" w:rsidRPr="00D076AD" w:rsidRDefault="00CE3A46" w:rsidP="00CE3A46">
            <w:pPr>
              <w:spacing w:after="0"/>
              <w:jc w:val="center"/>
              <w:rPr>
                <w:rFonts w:eastAsia="Times New Roman"/>
                <w:color w:val="auto"/>
                <w:lang w:eastAsia="en-AU"/>
              </w:rPr>
            </w:pPr>
            <w:r w:rsidRPr="00D076AD">
              <w:rPr>
                <w:color w:val="auto"/>
              </w:rPr>
              <w:t>2.5</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40A800AD" w14:textId="4364A491" w:rsidR="00CE3A46" w:rsidRPr="00D076AD" w:rsidRDefault="00CE3A46" w:rsidP="00CE3A46">
            <w:pPr>
              <w:spacing w:after="0"/>
              <w:jc w:val="center"/>
              <w:rPr>
                <w:rFonts w:eastAsia="Times New Roman"/>
                <w:color w:val="auto"/>
                <w:lang w:eastAsia="en-AU"/>
              </w:rPr>
            </w:pPr>
            <w:r w:rsidRPr="00D076AD">
              <w:rPr>
                <w:color w:val="auto"/>
              </w:rPr>
              <w:t>2.6</w:t>
            </w:r>
          </w:p>
        </w:tc>
        <w:tc>
          <w:tcPr>
            <w:tcW w:w="992" w:type="dxa"/>
            <w:tcBorders>
              <w:top w:val="single" w:sz="4" w:space="0" w:color="333333"/>
              <w:left w:val="nil"/>
              <w:bottom w:val="single" w:sz="4" w:space="0" w:color="333333"/>
              <w:right w:val="single" w:sz="4" w:space="0" w:color="333333"/>
            </w:tcBorders>
            <w:shd w:val="clear" w:color="auto" w:fill="auto"/>
            <w:noWrap/>
          </w:tcPr>
          <w:p w14:paraId="02A0A11C" w14:textId="17C8443D" w:rsidR="00CE3A46" w:rsidRPr="00CE3A46" w:rsidRDefault="00CE3A46" w:rsidP="00CE3A46">
            <w:pPr>
              <w:spacing w:after="0"/>
              <w:jc w:val="center"/>
              <w:rPr>
                <w:color w:val="auto"/>
              </w:rPr>
            </w:pPr>
            <w:r w:rsidRPr="00CE3A46">
              <w:rPr>
                <w:color w:val="auto"/>
              </w:rPr>
              <w:t>3.6</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67515B61" w14:textId="744168EF" w:rsidR="00CE3A46" w:rsidRPr="00CE3A46" w:rsidRDefault="00CE3A46" w:rsidP="00CE3A46">
            <w:pPr>
              <w:spacing w:after="0"/>
              <w:jc w:val="center"/>
              <w:rPr>
                <w:color w:val="auto"/>
              </w:rPr>
            </w:pPr>
            <w:r w:rsidRPr="00CE3A46">
              <w:rPr>
                <w:color w:val="auto"/>
              </w:rPr>
              <w:t>1.5</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372B7886" w14:textId="61910EB5" w:rsidR="00CE3A46" w:rsidRPr="00CE3A46" w:rsidRDefault="00CE3A46" w:rsidP="00CE3A46">
            <w:pPr>
              <w:spacing w:after="0"/>
              <w:jc w:val="center"/>
              <w:rPr>
                <w:color w:val="auto"/>
              </w:rPr>
            </w:pPr>
            <w:r w:rsidRPr="00CE3A46">
              <w:rPr>
                <w:color w:val="auto"/>
              </w:rPr>
              <w:t>1.5</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19BB86D2" w14:textId="0B85AFA5" w:rsidR="00CE3A46" w:rsidRPr="00CE3A46" w:rsidRDefault="00CE3A46" w:rsidP="00CE3A46">
            <w:pPr>
              <w:spacing w:after="0"/>
              <w:jc w:val="center"/>
              <w:rPr>
                <w:color w:val="auto"/>
              </w:rPr>
            </w:pPr>
            <w:r w:rsidRPr="00CE3A46">
              <w:rPr>
                <w:color w:val="auto"/>
              </w:rPr>
              <w:t>1.7</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4A2FED78" w14:textId="55A533B0" w:rsidR="00CE3A46" w:rsidRPr="00CE3A46" w:rsidRDefault="00CE3A46" w:rsidP="00CE3A46">
            <w:pPr>
              <w:spacing w:after="0"/>
              <w:jc w:val="center"/>
              <w:rPr>
                <w:color w:val="auto"/>
              </w:rPr>
            </w:pPr>
            <w:r w:rsidRPr="00CE3A46">
              <w:rPr>
                <w:color w:val="auto"/>
              </w:rPr>
              <w:t>1.3</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2BB603DD" w14:textId="0EEE7071"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00BF0503" w14:textId="2B80C61B" w:rsidR="00CE3A46" w:rsidRPr="00CE3A46" w:rsidRDefault="00CE3A46" w:rsidP="00CE3A46">
            <w:pPr>
              <w:spacing w:after="0"/>
              <w:jc w:val="center"/>
              <w:rPr>
                <w:color w:val="auto"/>
              </w:rPr>
            </w:pPr>
            <w:r w:rsidRPr="00CE3A46">
              <w:rPr>
                <w:color w:val="auto"/>
              </w:rPr>
              <w:t>1.2</w:t>
            </w:r>
          </w:p>
        </w:tc>
        <w:tc>
          <w:tcPr>
            <w:tcW w:w="239" w:type="dxa"/>
            <w:shd w:val="clear" w:color="auto" w:fill="auto"/>
            <w:vAlign w:val="center"/>
            <w:hideMark/>
          </w:tcPr>
          <w:p w14:paraId="3B3001C2"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6165099A"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57DB4751" w14:textId="23BB19FC" w:rsidR="00CE3A46" w:rsidRPr="00D076AD" w:rsidRDefault="00CE3A46" w:rsidP="00CE3A46">
            <w:pPr>
              <w:spacing w:after="0"/>
              <w:rPr>
                <w:rFonts w:eastAsia="Times New Roman"/>
                <w:color w:val="auto"/>
                <w:lang w:eastAsia="en-AU"/>
              </w:rPr>
            </w:pPr>
            <w:r w:rsidRPr="00D076AD">
              <w:rPr>
                <w:color w:val="auto"/>
              </w:rPr>
              <w:t>China</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27BC2707" w14:textId="1B4B062B" w:rsidR="00CE3A46" w:rsidRPr="00D076AD" w:rsidRDefault="00CE3A46" w:rsidP="00CE3A46">
            <w:pPr>
              <w:spacing w:after="0"/>
              <w:rPr>
                <w:color w:val="auto"/>
              </w:rPr>
            </w:pPr>
            <w:r w:rsidRPr="00D076AD">
              <w:rPr>
                <w:color w:val="auto"/>
              </w:rPr>
              <w:t>Low</w:t>
            </w:r>
          </w:p>
        </w:tc>
        <w:tc>
          <w:tcPr>
            <w:tcW w:w="709" w:type="dxa"/>
            <w:tcBorders>
              <w:top w:val="nil"/>
              <w:left w:val="nil"/>
              <w:bottom w:val="single" w:sz="4" w:space="0" w:color="333333"/>
              <w:right w:val="single" w:sz="4" w:space="0" w:color="333333"/>
            </w:tcBorders>
            <w:shd w:val="clear" w:color="auto" w:fill="auto"/>
            <w:noWrap/>
            <w:vAlign w:val="center"/>
          </w:tcPr>
          <w:p w14:paraId="67101C8A" w14:textId="135D1D51" w:rsidR="00CE3A46" w:rsidRPr="00D076AD" w:rsidRDefault="00CE3A46" w:rsidP="00CE3A46">
            <w:pPr>
              <w:spacing w:after="0"/>
              <w:rPr>
                <w:rFonts w:eastAsia="Times New Roman"/>
                <w:color w:val="auto"/>
                <w:lang w:eastAsia="en-AU"/>
              </w:rPr>
            </w:pPr>
            <w:r w:rsidRPr="00D076AD">
              <w:rPr>
                <w:color w:val="auto"/>
              </w:rPr>
              <w:t>5.8</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7023D1F1" w14:textId="3BFBEA5F" w:rsidR="00CE3A46" w:rsidRPr="00D076AD" w:rsidRDefault="00CE3A46" w:rsidP="00CE3A46">
            <w:pPr>
              <w:spacing w:after="0"/>
              <w:jc w:val="center"/>
              <w:rPr>
                <w:rFonts w:eastAsia="Times New Roman"/>
                <w:color w:val="auto"/>
                <w:lang w:eastAsia="en-AU"/>
              </w:rPr>
            </w:pPr>
            <w:r w:rsidRPr="00D076AD">
              <w:rPr>
                <w:color w:val="auto"/>
              </w:rPr>
              <w:t>1.8</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2939F566" w14:textId="215AE20C" w:rsidR="00CE3A46" w:rsidRPr="00D076AD" w:rsidRDefault="00CE3A46" w:rsidP="00CE3A46">
            <w:pPr>
              <w:spacing w:after="0"/>
              <w:jc w:val="center"/>
              <w:rPr>
                <w:rFonts w:eastAsia="Times New Roman"/>
                <w:color w:val="auto"/>
                <w:lang w:eastAsia="en-AU"/>
              </w:rPr>
            </w:pPr>
            <w:r w:rsidRPr="00D076AD">
              <w:rPr>
                <w:color w:val="auto"/>
              </w:rPr>
              <w:t>3.2</w:t>
            </w:r>
          </w:p>
        </w:tc>
        <w:tc>
          <w:tcPr>
            <w:tcW w:w="992" w:type="dxa"/>
            <w:tcBorders>
              <w:top w:val="single" w:sz="4" w:space="0" w:color="333333"/>
              <w:left w:val="nil"/>
              <w:bottom w:val="single" w:sz="4" w:space="0" w:color="333333"/>
              <w:right w:val="single" w:sz="4" w:space="0" w:color="333333"/>
            </w:tcBorders>
            <w:shd w:val="clear" w:color="auto" w:fill="auto"/>
            <w:noWrap/>
          </w:tcPr>
          <w:p w14:paraId="14F85850" w14:textId="6542E7FA" w:rsidR="00CE3A46" w:rsidRPr="00CE3A46" w:rsidRDefault="00CE3A46" w:rsidP="00CE3A46">
            <w:pPr>
              <w:spacing w:after="0"/>
              <w:jc w:val="center"/>
              <w:rPr>
                <w:color w:val="auto"/>
              </w:rPr>
            </w:pPr>
            <w:r w:rsidRPr="00CE3A46">
              <w:rPr>
                <w:color w:val="auto"/>
              </w:rPr>
              <w:t>2.3</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1660C35E" w14:textId="35F4B653" w:rsidR="00CE3A46" w:rsidRPr="00CE3A46" w:rsidRDefault="00CE3A46" w:rsidP="00CE3A46">
            <w:pPr>
              <w:spacing w:after="0"/>
              <w:jc w:val="center"/>
              <w:rPr>
                <w:color w:val="auto"/>
              </w:rPr>
            </w:pPr>
            <w:r w:rsidRPr="00CE3A46">
              <w:rPr>
                <w:color w:val="auto"/>
              </w:rPr>
              <w:t>1.4</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19339982" w14:textId="01977C8B" w:rsidR="00CE3A46" w:rsidRPr="00CE3A46" w:rsidRDefault="00CE3A46" w:rsidP="00CE3A46">
            <w:pPr>
              <w:spacing w:after="0"/>
              <w:jc w:val="center"/>
              <w:rPr>
                <w:color w:val="auto"/>
              </w:rPr>
            </w:pPr>
            <w:r w:rsidRPr="00CE3A46">
              <w:rPr>
                <w:color w:val="auto"/>
              </w:rPr>
              <w:t>2.4</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6B94D815" w14:textId="082368F3" w:rsidR="00CE3A46" w:rsidRPr="00CE3A46" w:rsidRDefault="00CE3A46" w:rsidP="00CE3A46">
            <w:pPr>
              <w:spacing w:after="0"/>
              <w:jc w:val="center"/>
              <w:rPr>
                <w:color w:val="auto"/>
              </w:rPr>
            </w:pPr>
            <w:r w:rsidRPr="00CE3A46">
              <w:rPr>
                <w:color w:val="auto"/>
              </w:rPr>
              <w:t>2.6</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48327EE3" w14:textId="643ED1BB" w:rsidR="00CE3A46" w:rsidRPr="00CE3A46" w:rsidRDefault="00CE3A46" w:rsidP="00CE3A46">
            <w:pPr>
              <w:spacing w:after="0"/>
              <w:jc w:val="center"/>
              <w:rPr>
                <w:color w:val="auto"/>
              </w:rPr>
            </w:pPr>
            <w:r w:rsidRPr="00CE3A46">
              <w:rPr>
                <w:color w:val="auto"/>
              </w:rPr>
              <w:t>3.3</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543A9B9C" w14:textId="10072ABB"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6770A502" w14:textId="3DA5F2C9" w:rsidR="00CE3A46" w:rsidRPr="00CE3A46" w:rsidRDefault="00CE3A46" w:rsidP="00CE3A46">
            <w:pPr>
              <w:spacing w:after="0"/>
              <w:jc w:val="center"/>
              <w:rPr>
                <w:color w:val="auto"/>
              </w:rPr>
            </w:pPr>
            <w:r w:rsidRPr="00CE3A46">
              <w:rPr>
                <w:color w:val="auto"/>
              </w:rPr>
              <w:t>1.9</w:t>
            </w:r>
          </w:p>
        </w:tc>
        <w:tc>
          <w:tcPr>
            <w:tcW w:w="239" w:type="dxa"/>
            <w:shd w:val="clear" w:color="auto" w:fill="auto"/>
            <w:vAlign w:val="center"/>
            <w:hideMark/>
          </w:tcPr>
          <w:p w14:paraId="677728CC"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175FD0C2"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7C2E3D92" w14:textId="531A74D0" w:rsidR="00CE3A46" w:rsidRPr="00D076AD" w:rsidRDefault="00CE3A46" w:rsidP="00CE3A46">
            <w:pPr>
              <w:spacing w:after="0"/>
              <w:rPr>
                <w:rFonts w:eastAsia="Times New Roman"/>
                <w:color w:val="auto"/>
                <w:lang w:eastAsia="en-AU"/>
              </w:rPr>
            </w:pPr>
            <w:r w:rsidRPr="00D076AD">
              <w:rPr>
                <w:color w:val="auto"/>
              </w:rPr>
              <w:t>Japan</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30147957" w14:textId="53B6695E" w:rsidR="00CE3A46" w:rsidRPr="00D076AD" w:rsidRDefault="00CE3A46" w:rsidP="00CE3A46">
            <w:pPr>
              <w:spacing w:after="0"/>
              <w:rPr>
                <w:color w:val="auto"/>
              </w:rPr>
            </w:pPr>
            <w:r w:rsidRPr="00D076AD">
              <w:rPr>
                <w:color w:val="auto"/>
              </w:rPr>
              <w:t>Low</w:t>
            </w:r>
          </w:p>
        </w:tc>
        <w:tc>
          <w:tcPr>
            <w:tcW w:w="709" w:type="dxa"/>
            <w:tcBorders>
              <w:top w:val="nil"/>
              <w:left w:val="nil"/>
              <w:bottom w:val="single" w:sz="4" w:space="0" w:color="333333"/>
              <w:right w:val="single" w:sz="4" w:space="0" w:color="333333"/>
            </w:tcBorders>
            <w:shd w:val="clear" w:color="auto" w:fill="auto"/>
            <w:noWrap/>
            <w:vAlign w:val="center"/>
          </w:tcPr>
          <w:p w14:paraId="7D5F1E76" w14:textId="2FCCF423" w:rsidR="00CE3A46" w:rsidRPr="00D076AD" w:rsidRDefault="00CE3A46" w:rsidP="00CE3A46">
            <w:pPr>
              <w:spacing w:after="0"/>
              <w:rPr>
                <w:rFonts w:eastAsia="Times New Roman"/>
                <w:color w:val="auto"/>
                <w:lang w:eastAsia="en-AU"/>
              </w:rPr>
            </w:pPr>
            <w:r w:rsidRPr="00D076AD">
              <w:rPr>
                <w:color w:val="auto"/>
              </w:rPr>
              <w:t>3.8</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45209CB6" w14:textId="02AAF867" w:rsidR="00CE3A46" w:rsidRPr="00D076AD" w:rsidRDefault="00CE3A46" w:rsidP="00CE3A46">
            <w:pPr>
              <w:spacing w:after="0"/>
              <w:jc w:val="center"/>
              <w:rPr>
                <w:rFonts w:eastAsia="Times New Roman"/>
                <w:color w:val="auto"/>
                <w:lang w:eastAsia="en-AU"/>
              </w:rPr>
            </w:pPr>
            <w:r w:rsidRPr="00D076AD">
              <w:rPr>
                <w:color w:val="auto"/>
              </w:rPr>
              <w:t>1.5</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0F28D819" w14:textId="7A217C5D" w:rsidR="00CE3A46" w:rsidRPr="00D076AD" w:rsidRDefault="00CE3A46" w:rsidP="00CE3A46">
            <w:pPr>
              <w:spacing w:after="0"/>
              <w:jc w:val="center"/>
              <w:rPr>
                <w:rFonts w:eastAsia="Times New Roman"/>
                <w:color w:val="auto"/>
                <w:lang w:eastAsia="en-AU"/>
              </w:rPr>
            </w:pPr>
            <w:r w:rsidRPr="00D076AD">
              <w:rPr>
                <w:color w:val="auto"/>
              </w:rPr>
              <w:t>2.5</w:t>
            </w:r>
          </w:p>
        </w:tc>
        <w:tc>
          <w:tcPr>
            <w:tcW w:w="992" w:type="dxa"/>
            <w:tcBorders>
              <w:top w:val="single" w:sz="4" w:space="0" w:color="333333"/>
              <w:left w:val="nil"/>
              <w:bottom w:val="single" w:sz="4" w:space="0" w:color="333333"/>
              <w:right w:val="single" w:sz="4" w:space="0" w:color="333333"/>
            </w:tcBorders>
            <w:shd w:val="clear" w:color="auto" w:fill="auto"/>
            <w:noWrap/>
          </w:tcPr>
          <w:p w14:paraId="18CA9387" w14:textId="5401DE6B" w:rsidR="00CE3A46" w:rsidRPr="00CE3A46" w:rsidRDefault="00CE3A46" w:rsidP="00CE3A46">
            <w:pPr>
              <w:spacing w:after="0"/>
              <w:jc w:val="center"/>
              <w:rPr>
                <w:color w:val="auto"/>
              </w:rPr>
            </w:pPr>
            <w:r w:rsidRPr="00CE3A46">
              <w:rPr>
                <w:color w:val="auto"/>
              </w:rPr>
              <w:t>1.3</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2E8A603C" w14:textId="3A891202" w:rsidR="00CE3A46" w:rsidRPr="00CE3A46" w:rsidRDefault="00CE3A46" w:rsidP="00CE3A46">
            <w:pPr>
              <w:spacing w:after="0"/>
              <w:jc w:val="center"/>
              <w:rPr>
                <w:color w:val="auto"/>
              </w:rPr>
            </w:pPr>
            <w:r w:rsidRPr="00CE3A46">
              <w:rPr>
                <w:color w:val="auto"/>
              </w:rPr>
              <w:t>1.8</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0D9AAE80" w14:textId="783CFEEE" w:rsidR="00CE3A46" w:rsidRPr="00CE3A46" w:rsidRDefault="00CE3A46" w:rsidP="00CE3A46">
            <w:pPr>
              <w:spacing w:after="0"/>
              <w:jc w:val="center"/>
              <w:rPr>
                <w:color w:val="auto"/>
              </w:rPr>
            </w:pPr>
            <w:r w:rsidRPr="00CE3A46">
              <w:rPr>
                <w:color w:val="auto"/>
              </w:rPr>
              <w:t>2.1</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022509AB" w14:textId="2742B274" w:rsidR="00CE3A46" w:rsidRPr="00CE3A46" w:rsidRDefault="00CE3A46" w:rsidP="00CE3A46">
            <w:pPr>
              <w:spacing w:after="0"/>
              <w:jc w:val="center"/>
              <w:rPr>
                <w:color w:val="auto"/>
              </w:rPr>
            </w:pPr>
            <w:r w:rsidRPr="00CE3A46">
              <w:rPr>
                <w:color w:val="auto"/>
              </w:rPr>
              <w:t>1.0</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61F09C31" w14:textId="4EB51701" w:rsidR="00CE3A46" w:rsidRPr="00CE3A46" w:rsidRDefault="00CE3A46" w:rsidP="00CE3A46">
            <w:pPr>
              <w:spacing w:after="0"/>
              <w:jc w:val="center"/>
              <w:rPr>
                <w:color w:val="auto"/>
              </w:rPr>
            </w:pPr>
            <w:r w:rsidRPr="00CE3A46">
              <w:rPr>
                <w:color w:val="auto"/>
              </w:rPr>
              <w:t>1.1</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66A4F10C" w14:textId="0536BD36"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60C043C2" w14:textId="0CA26A20" w:rsidR="00CE3A46" w:rsidRPr="00CE3A46" w:rsidRDefault="00CE3A46" w:rsidP="00CE3A46">
            <w:pPr>
              <w:spacing w:after="0"/>
              <w:jc w:val="center"/>
              <w:rPr>
                <w:color w:val="auto"/>
              </w:rPr>
            </w:pPr>
            <w:r w:rsidRPr="00CE3A46">
              <w:rPr>
                <w:color w:val="auto"/>
              </w:rPr>
              <w:t>1.4</w:t>
            </w:r>
          </w:p>
        </w:tc>
        <w:tc>
          <w:tcPr>
            <w:tcW w:w="239" w:type="dxa"/>
            <w:shd w:val="clear" w:color="auto" w:fill="auto"/>
            <w:vAlign w:val="center"/>
            <w:hideMark/>
          </w:tcPr>
          <w:p w14:paraId="4AF4409E"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3BB73417"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51D85068" w14:textId="367B22F4" w:rsidR="00CE3A46" w:rsidRPr="00D076AD" w:rsidRDefault="00CE3A46" w:rsidP="00CE3A46">
            <w:pPr>
              <w:spacing w:after="0"/>
              <w:rPr>
                <w:rFonts w:eastAsia="Times New Roman"/>
                <w:color w:val="auto"/>
                <w:lang w:eastAsia="en-AU"/>
              </w:rPr>
            </w:pPr>
            <w:r w:rsidRPr="00D076AD">
              <w:rPr>
                <w:color w:val="auto"/>
              </w:rPr>
              <w:t>Korea, Republic of</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6E40AEDC" w14:textId="3B3C6875" w:rsidR="00CE3A46" w:rsidRPr="00D076AD" w:rsidRDefault="00CE3A46" w:rsidP="00CE3A46">
            <w:pPr>
              <w:spacing w:after="0"/>
              <w:rPr>
                <w:color w:val="auto"/>
              </w:rPr>
            </w:pPr>
            <w:r w:rsidRPr="00D076AD">
              <w:rPr>
                <w:color w:val="auto"/>
              </w:rPr>
              <w:t>Low</w:t>
            </w:r>
          </w:p>
        </w:tc>
        <w:tc>
          <w:tcPr>
            <w:tcW w:w="709" w:type="dxa"/>
            <w:tcBorders>
              <w:top w:val="nil"/>
              <w:left w:val="nil"/>
              <w:bottom w:val="single" w:sz="4" w:space="0" w:color="333333"/>
              <w:right w:val="single" w:sz="4" w:space="0" w:color="333333"/>
            </w:tcBorders>
            <w:shd w:val="clear" w:color="auto" w:fill="auto"/>
            <w:noWrap/>
            <w:vAlign w:val="center"/>
          </w:tcPr>
          <w:p w14:paraId="469A5A70" w14:textId="27C067DB" w:rsidR="00CE3A46" w:rsidRPr="00D076AD" w:rsidRDefault="00CE3A46" w:rsidP="00CE3A46">
            <w:pPr>
              <w:spacing w:after="0"/>
              <w:rPr>
                <w:rFonts w:eastAsia="Times New Roman"/>
                <w:color w:val="auto"/>
                <w:lang w:eastAsia="en-AU"/>
              </w:rPr>
            </w:pPr>
            <w:r w:rsidRPr="00D076AD">
              <w:rPr>
                <w:color w:val="auto"/>
              </w:rPr>
              <w:t>3.8</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2A8C4578" w14:textId="57D3168B" w:rsidR="00CE3A46" w:rsidRPr="00D076AD" w:rsidRDefault="00CE3A46" w:rsidP="00CE3A46">
            <w:pPr>
              <w:spacing w:after="0"/>
              <w:jc w:val="center"/>
              <w:rPr>
                <w:rFonts w:eastAsia="Times New Roman"/>
                <w:color w:val="auto"/>
                <w:lang w:eastAsia="en-AU"/>
              </w:rPr>
            </w:pPr>
            <w:r w:rsidRPr="00D076AD">
              <w:rPr>
                <w:color w:val="auto"/>
              </w:rPr>
              <w:t>1.6</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6251CAB5" w14:textId="2E129AAC" w:rsidR="00CE3A46" w:rsidRPr="00D076AD" w:rsidRDefault="00CE3A46" w:rsidP="00CE3A46">
            <w:pPr>
              <w:spacing w:after="0"/>
              <w:jc w:val="center"/>
              <w:rPr>
                <w:rFonts w:eastAsia="Times New Roman"/>
                <w:color w:val="auto"/>
                <w:lang w:eastAsia="en-AU"/>
              </w:rPr>
            </w:pPr>
            <w:r w:rsidRPr="00D076AD">
              <w:rPr>
                <w:color w:val="auto"/>
              </w:rPr>
              <w:t>2.4</w:t>
            </w:r>
          </w:p>
        </w:tc>
        <w:tc>
          <w:tcPr>
            <w:tcW w:w="992" w:type="dxa"/>
            <w:tcBorders>
              <w:top w:val="single" w:sz="4" w:space="0" w:color="333333"/>
              <w:left w:val="nil"/>
              <w:bottom w:val="single" w:sz="4" w:space="0" w:color="333333"/>
              <w:right w:val="single" w:sz="4" w:space="0" w:color="333333"/>
            </w:tcBorders>
            <w:shd w:val="clear" w:color="auto" w:fill="auto"/>
            <w:noWrap/>
          </w:tcPr>
          <w:p w14:paraId="354E617B" w14:textId="759996C2" w:rsidR="00CE3A46" w:rsidRPr="00CE3A46" w:rsidRDefault="00CE3A46" w:rsidP="00CE3A46">
            <w:pPr>
              <w:spacing w:after="0"/>
              <w:jc w:val="center"/>
              <w:rPr>
                <w:color w:val="auto"/>
              </w:rPr>
            </w:pPr>
            <w:r w:rsidRPr="00CE3A46">
              <w:rPr>
                <w:color w:val="auto"/>
              </w:rPr>
              <w:t>2.1</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1AFE88D2" w14:textId="5928AF22" w:rsidR="00CE3A46" w:rsidRPr="00CE3A46" w:rsidRDefault="00CE3A46" w:rsidP="00CE3A46">
            <w:pPr>
              <w:spacing w:after="0"/>
              <w:jc w:val="center"/>
              <w:rPr>
                <w:color w:val="auto"/>
              </w:rPr>
            </w:pPr>
            <w:r w:rsidRPr="00CE3A46">
              <w:rPr>
                <w:color w:val="auto"/>
              </w:rPr>
              <w:t>1.1</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31D3B1AA" w14:textId="3A3B65D6" w:rsidR="00CE3A46" w:rsidRPr="00CE3A46" w:rsidRDefault="00CE3A46" w:rsidP="00CE3A46">
            <w:pPr>
              <w:spacing w:after="0"/>
              <w:jc w:val="center"/>
              <w:rPr>
                <w:color w:val="auto"/>
              </w:rPr>
            </w:pPr>
            <w:r w:rsidRPr="00CE3A46">
              <w:rPr>
                <w:color w:val="auto"/>
              </w:rPr>
              <w:t>1.4</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21538447" w14:textId="1413A016" w:rsidR="00CE3A46" w:rsidRPr="00CE3A46" w:rsidRDefault="00CE3A46" w:rsidP="00CE3A46">
            <w:pPr>
              <w:spacing w:after="0"/>
              <w:jc w:val="center"/>
              <w:rPr>
                <w:color w:val="auto"/>
              </w:rPr>
            </w:pPr>
            <w:r w:rsidRPr="00CE3A46">
              <w:rPr>
                <w:color w:val="auto"/>
              </w:rPr>
              <w:t>1.1</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1C065024" w14:textId="71E09E49" w:rsidR="00CE3A46" w:rsidRPr="00CE3A46" w:rsidRDefault="00CE3A46" w:rsidP="00CE3A46">
            <w:pPr>
              <w:spacing w:after="0"/>
              <w:jc w:val="center"/>
              <w:rPr>
                <w:color w:val="auto"/>
              </w:rPr>
            </w:pPr>
            <w:r w:rsidRPr="00CE3A46">
              <w:rPr>
                <w:color w:val="auto"/>
              </w:rPr>
              <w:t>1.2</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393D3F55" w14:textId="20D02521"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7DB379F0" w14:textId="1DC88B19" w:rsidR="00CE3A46" w:rsidRPr="00CE3A46" w:rsidRDefault="00CE3A46" w:rsidP="00CE3A46">
            <w:pPr>
              <w:spacing w:after="0"/>
              <w:jc w:val="center"/>
              <w:rPr>
                <w:color w:val="auto"/>
              </w:rPr>
            </w:pPr>
            <w:r w:rsidRPr="00CE3A46">
              <w:rPr>
                <w:color w:val="auto"/>
              </w:rPr>
              <w:t>1.0</w:t>
            </w:r>
          </w:p>
        </w:tc>
        <w:tc>
          <w:tcPr>
            <w:tcW w:w="239" w:type="dxa"/>
            <w:shd w:val="clear" w:color="auto" w:fill="auto"/>
            <w:vAlign w:val="center"/>
            <w:hideMark/>
          </w:tcPr>
          <w:p w14:paraId="6959F920"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2C87AB47"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7E562CAB" w14:textId="6504B81A" w:rsidR="00CE3A46" w:rsidRPr="00D076AD" w:rsidRDefault="00CE3A46" w:rsidP="00CE3A46">
            <w:pPr>
              <w:spacing w:after="0"/>
              <w:rPr>
                <w:rFonts w:eastAsia="Times New Roman"/>
                <w:color w:val="auto"/>
                <w:lang w:eastAsia="en-AU"/>
              </w:rPr>
            </w:pPr>
            <w:r w:rsidRPr="00D076AD">
              <w:rPr>
                <w:color w:val="auto"/>
              </w:rPr>
              <w:t>New Zealand</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715D4D29" w14:textId="6094DFBE" w:rsidR="00CE3A46" w:rsidRPr="00D076AD" w:rsidRDefault="00CE3A46" w:rsidP="00CE3A46">
            <w:pPr>
              <w:spacing w:after="0"/>
              <w:rPr>
                <w:color w:val="auto"/>
              </w:rPr>
            </w:pPr>
            <w:r w:rsidRPr="00D076AD">
              <w:rPr>
                <w:color w:val="auto"/>
              </w:rPr>
              <w:t>Low</w:t>
            </w:r>
          </w:p>
        </w:tc>
        <w:tc>
          <w:tcPr>
            <w:tcW w:w="709" w:type="dxa"/>
            <w:tcBorders>
              <w:top w:val="nil"/>
              <w:left w:val="nil"/>
              <w:bottom w:val="single" w:sz="4" w:space="0" w:color="333333"/>
              <w:right w:val="single" w:sz="4" w:space="0" w:color="333333"/>
            </w:tcBorders>
            <w:shd w:val="clear" w:color="auto" w:fill="auto"/>
            <w:noWrap/>
            <w:vAlign w:val="center"/>
          </w:tcPr>
          <w:p w14:paraId="19B962EC" w14:textId="3EBF8699" w:rsidR="00CE3A46" w:rsidRPr="00D076AD" w:rsidRDefault="00CE3A46" w:rsidP="00CE3A46">
            <w:pPr>
              <w:spacing w:after="0"/>
              <w:rPr>
                <w:rFonts w:eastAsia="Times New Roman"/>
                <w:color w:val="auto"/>
                <w:lang w:eastAsia="en-AU"/>
              </w:rPr>
            </w:pPr>
            <w:r w:rsidRPr="00D076AD">
              <w:rPr>
                <w:color w:val="auto"/>
              </w:rPr>
              <w:t>3.3</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7814A510" w14:textId="684580D0" w:rsidR="00CE3A46" w:rsidRPr="00D076AD" w:rsidRDefault="00CE3A46" w:rsidP="00CE3A46">
            <w:pPr>
              <w:spacing w:after="0"/>
              <w:jc w:val="center"/>
              <w:rPr>
                <w:rFonts w:eastAsia="Times New Roman"/>
                <w:color w:val="auto"/>
                <w:lang w:eastAsia="en-AU"/>
              </w:rPr>
            </w:pPr>
            <w:r w:rsidRPr="00D076AD">
              <w:rPr>
                <w:color w:val="auto"/>
              </w:rPr>
              <w:t>1.3</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4B0D52E5" w14:textId="34B80640" w:rsidR="00CE3A46" w:rsidRPr="00D076AD" w:rsidRDefault="00CE3A46" w:rsidP="00CE3A46">
            <w:pPr>
              <w:spacing w:after="0"/>
              <w:jc w:val="center"/>
              <w:rPr>
                <w:rFonts w:eastAsia="Times New Roman"/>
                <w:color w:val="auto"/>
                <w:lang w:eastAsia="en-AU"/>
              </w:rPr>
            </w:pPr>
            <w:r w:rsidRPr="00D076AD">
              <w:rPr>
                <w:color w:val="auto"/>
              </w:rPr>
              <w:t>2.5</w:t>
            </w:r>
          </w:p>
        </w:tc>
        <w:tc>
          <w:tcPr>
            <w:tcW w:w="992" w:type="dxa"/>
            <w:tcBorders>
              <w:top w:val="single" w:sz="4" w:space="0" w:color="333333"/>
              <w:left w:val="nil"/>
              <w:bottom w:val="single" w:sz="4" w:space="0" w:color="333333"/>
              <w:right w:val="single" w:sz="4" w:space="0" w:color="333333"/>
            </w:tcBorders>
            <w:shd w:val="clear" w:color="auto" w:fill="auto"/>
            <w:noWrap/>
          </w:tcPr>
          <w:p w14:paraId="6B671307" w14:textId="06F38E6F" w:rsidR="00CE3A46" w:rsidRPr="00CE3A46" w:rsidRDefault="00CE3A46" w:rsidP="00CE3A46">
            <w:pPr>
              <w:spacing w:after="0"/>
              <w:jc w:val="center"/>
              <w:rPr>
                <w:color w:val="auto"/>
              </w:rPr>
            </w:pPr>
            <w:r w:rsidRPr="00CE3A46">
              <w:rPr>
                <w:color w:val="auto"/>
              </w:rPr>
              <w:t>1.5</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6C51D386" w14:textId="0956488F" w:rsidR="00CE3A46" w:rsidRPr="00CE3A46" w:rsidRDefault="00CE3A46" w:rsidP="00CE3A46">
            <w:pPr>
              <w:spacing w:after="0"/>
              <w:jc w:val="center"/>
              <w:rPr>
                <w:color w:val="auto"/>
              </w:rPr>
            </w:pPr>
            <w:r w:rsidRPr="00CE3A46">
              <w:rPr>
                <w:color w:val="auto"/>
              </w:rPr>
              <w:t>1.0</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1A2CAFBF" w14:textId="46D6F1B3" w:rsidR="00CE3A46" w:rsidRPr="00CE3A46" w:rsidRDefault="00CE3A46" w:rsidP="00CE3A46">
            <w:pPr>
              <w:spacing w:after="0"/>
              <w:jc w:val="center"/>
              <w:rPr>
                <w:color w:val="auto"/>
              </w:rPr>
            </w:pPr>
            <w:r w:rsidRPr="00CE3A46">
              <w:rPr>
                <w:color w:val="auto"/>
              </w:rPr>
              <w:t>1.0</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3F5EF3CD" w14:textId="7CAFAA36" w:rsidR="00CE3A46" w:rsidRPr="00CE3A46" w:rsidRDefault="00CE3A46" w:rsidP="00CE3A46">
            <w:pPr>
              <w:spacing w:after="0"/>
              <w:jc w:val="center"/>
              <w:rPr>
                <w:color w:val="auto"/>
              </w:rPr>
            </w:pPr>
            <w:r w:rsidRPr="00CE3A46">
              <w:rPr>
                <w:color w:val="auto"/>
              </w:rPr>
              <w:t>1.5</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38BBC8E7" w14:textId="7CBD00EA" w:rsidR="00CE3A46" w:rsidRPr="00CE3A46" w:rsidRDefault="00CE3A46" w:rsidP="00CE3A46">
            <w:pPr>
              <w:spacing w:after="0"/>
              <w:jc w:val="center"/>
              <w:rPr>
                <w:color w:val="auto"/>
              </w:rPr>
            </w:pPr>
            <w:r w:rsidRPr="00CE3A46">
              <w:rPr>
                <w:color w:val="auto"/>
              </w:rPr>
              <w:t>1.1</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1717200F" w14:textId="1947C16A"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6D35A6A1" w14:textId="08F2CC45" w:rsidR="00CE3A46" w:rsidRPr="00CE3A46" w:rsidRDefault="00CE3A46" w:rsidP="00CE3A46">
            <w:pPr>
              <w:spacing w:after="0"/>
              <w:jc w:val="center"/>
              <w:rPr>
                <w:color w:val="auto"/>
              </w:rPr>
            </w:pPr>
            <w:r w:rsidRPr="00CE3A46">
              <w:rPr>
                <w:color w:val="auto"/>
              </w:rPr>
              <w:t>1.2</w:t>
            </w:r>
          </w:p>
        </w:tc>
        <w:tc>
          <w:tcPr>
            <w:tcW w:w="239" w:type="dxa"/>
            <w:shd w:val="clear" w:color="auto" w:fill="auto"/>
            <w:vAlign w:val="center"/>
            <w:hideMark/>
          </w:tcPr>
          <w:p w14:paraId="3E465DC2"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58D56587"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6BC2876D" w14:textId="0643A172" w:rsidR="00CE3A46" w:rsidRPr="00D076AD" w:rsidRDefault="00CE3A46" w:rsidP="00CE3A46">
            <w:pPr>
              <w:spacing w:after="0"/>
              <w:rPr>
                <w:rFonts w:eastAsia="Times New Roman"/>
                <w:color w:val="auto"/>
                <w:lang w:eastAsia="en-AU"/>
              </w:rPr>
            </w:pPr>
            <w:r w:rsidRPr="00D076AD">
              <w:rPr>
                <w:color w:val="auto"/>
              </w:rPr>
              <w:t>Singapore</w:t>
            </w:r>
          </w:p>
        </w:tc>
        <w:tc>
          <w:tcPr>
            <w:tcW w:w="1418" w:type="dxa"/>
            <w:tcBorders>
              <w:top w:val="nil"/>
              <w:left w:val="single" w:sz="8" w:space="0" w:color="333333"/>
              <w:bottom w:val="single" w:sz="4" w:space="0" w:color="333333"/>
              <w:right w:val="single" w:sz="4" w:space="0" w:color="333333"/>
            </w:tcBorders>
            <w:shd w:val="clear" w:color="auto" w:fill="auto"/>
            <w:vAlign w:val="center"/>
          </w:tcPr>
          <w:p w14:paraId="1FB19600" w14:textId="65417B7F" w:rsidR="00CE3A46" w:rsidRPr="00D076AD" w:rsidRDefault="00CE3A46" w:rsidP="00CE3A46">
            <w:pPr>
              <w:spacing w:after="0"/>
              <w:rPr>
                <w:color w:val="auto"/>
              </w:rPr>
            </w:pPr>
            <w:r w:rsidRPr="00D076AD">
              <w:rPr>
                <w:color w:val="auto"/>
              </w:rPr>
              <w:t>Low</w:t>
            </w:r>
          </w:p>
        </w:tc>
        <w:tc>
          <w:tcPr>
            <w:tcW w:w="709" w:type="dxa"/>
            <w:tcBorders>
              <w:top w:val="nil"/>
              <w:left w:val="nil"/>
              <w:bottom w:val="single" w:sz="4" w:space="0" w:color="333333"/>
              <w:right w:val="single" w:sz="4" w:space="0" w:color="333333"/>
            </w:tcBorders>
            <w:shd w:val="clear" w:color="auto" w:fill="auto"/>
            <w:noWrap/>
            <w:vAlign w:val="center"/>
          </w:tcPr>
          <w:p w14:paraId="07851141" w14:textId="5333E124" w:rsidR="00CE3A46" w:rsidRPr="00D076AD" w:rsidRDefault="00CE3A46" w:rsidP="00CE3A46">
            <w:pPr>
              <w:spacing w:after="0"/>
              <w:rPr>
                <w:rFonts w:eastAsia="Times New Roman"/>
                <w:color w:val="auto"/>
                <w:lang w:eastAsia="en-AU"/>
              </w:rPr>
            </w:pPr>
            <w:r w:rsidRPr="00D076AD">
              <w:rPr>
                <w:color w:val="auto"/>
              </w:rPr>
              <w:t>3.3</w:t>
            </w:r>
          </w:p>
        </w:tc>
        <w:tc>
          <w:tcPr>
            <w:tcW w:w="1417" w:type="dxa"/>
            <w:tcBorders>
              <w:top w:val="single" w:sz="4" w:space="0" w:color="333333"/>
              <w:left w:val="single" w:sz="4" w:space="0" w:color="333333"/>
              <w:bottom w:val="single" w:sz="4" w:space="0" w:color="333333"/>
              <w:right w:val="single" w:sz="4" w:space="0" w:color="333333"/>
            </w:tcBorders>
            <w:shd w:val="clear" w:color="auto" w:fill="auto"/>
            <w:noWrap/>
            <w:vAlign w:val="center"/>
          </w:tcPr>
          <w:p w14:paraId="16F3B16C" w14:textId="25EE7745" w:rsidR="00CE3A46" w:rsidRPr="00D076AD" w:rsidRDefault="00CE3A46" w:rsidP="00CE3A46">
            <w:pPr>
              <w:spacing w:after="0"/>
              <w:jc w:val="center"/>
              <w:rPr>
                <w:rFonts w:eastAsia="Times New Roman"/>
                <w:color w:val="auto"/>
                <w:lang w:eastAsia="en-AU"/>
              </w:rPr>
            </w:pPr>
            <w:r w:rsidRPr="00D076AD">
              <w:rPr>
                <w:color w:val="auto"/>
              </w:rPr>
              <w:t>1.2</w:t>
            </w:r>
          </w:p>
        </w:tc>
        <w:tc>
          <w:tcPr>
            <w:tcW w:w="1843" w:type="dxa"/>
            <w:tcBorders>
              <w:top w:val="single" w:sz="4" w:space="0" w:color="333333"/>
              <w:left w:val="single" w:sz="4" w:space="0" w:color="333333"/>
              <w:bottom w:val="single" w:sz="4" w:space="0" w:color="333333"/>
              <w:right w:val="single" w:sz="8" w:space="0" w:color="333333"/>
            </w:tcBorders>
            <w:shd w:val="clear" w:color="auto" w:fill="auto"/>
            <w:noWrap/>
            <w:vAlign w:val="center"/>
          </w:tcPr>
          <w:p w14:paraId="1DEA48AA" w14:textId="7F0CA067" w:rsidR="00CE3A46" w:rsidRPr="00D076AD" w:rsidRDefault="00CE3A46" w:rsidP="00CE3A46">
            <w:pPr>
              <w:spacing w:after="0"/>
              <w:jc w:val="center"/>
              <w:rPr>
                <w:rFonts w:eastAsia="Times New Roman"/>
                <w:color w:val="auto"/>
                <w:lang w:eastAsia="en-AU"/>
              </w:rPr>
            </w:pPr>
            <w:r w:rsidRPr="00D076AD">
              <w:rPr>
                <w:color w:val="auto"/>
              </w:rPr>
              <w:t>2.6</w:t>
            </w:r>
          </w:p>
        </w:tc>
        <w:tc>
          <w:tcPr>
            <w:tcW w:w="992" w:type="dxa"/>
            <w:tcBorders>
              <w:top w:val="single" w:sz="4" w:space="0" w:color="333333"/>
              <w:left w:val="nil"/>
              <w:bottom w:val="single" w:sz="4" w:space="0" w:color="333333"/>
              <w:right w:val="single" w:sz="4" w:space="0" w:color="333333"/>
            </w:tcBorders>
            <w:shd w:val="clear" w:color="auto" w:fill="auto"/>
            <w:noWrap/>
          </w:tcPr>
          <w:p w14:paraId="504F1E5D" w14:textId="574C0A69" w:rsidR="00CE3A46" w:rsidRPr="00CE3A46" w:rsidRDefault="00CE3A46" w:rsidP="00CE3A46">
            <w:pPr>
              <w:spacing w:after="0"/>
              <w:jc w:val="center"/>
              <w:rPr>
                <w:color w:val="auto"/>
              </w:rPr>
            </w:pPr>
            <w:r w:rsidRPr="00CE3A46">
              <w:rPr>
                <w:color w:val="auto"/>
              </w:rPr>
              <w:t>1.5</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064CADAE" w14:textId="5974B170" w:rsidR="00CE3A46" w:rsidRPr="00CE3A46" w:rsidRDefault="00CE3A46" w:rsidP="00CE3A46">
            <w:pPr>
              <w:spacing w:after="0"/>
              <w:jc w:val="center"/>
              <w:rPr>
                <w:color w:val="auto"/>
              </w:rPr>
            </w:pPr>
            <w:r w:rsidRPr="00CE3A46">
              <w:rPr>
                <w:color w:val="auto"/>
              </w:rPr>
              <w:t>1.0</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46AFA229" w14:textId="4FA9C3C8" w:rsidR="00CE3A46" w:rsidRPr="00CE3A46" w:rsidRDefault="00CE3A46" w:rsidP="00CE3A46">
            <w:pPr>
              <w:spacing w:after="0"/>
              <w:jc w:val="center"/>
              <w:rPr>
                <w:color w:val="auto"/>
              </w:rPr>
            </w:pPr>
            <w:r w:rsidRPr="00CE3A46">
              <w:rPr>
                <w:color w:val="auto"/>
              </w:rPr>
              <w:t>1.1</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5AECD057" w14:textId="31E4CCC7" w:rsidR="00CE3A46" w:rsidRPr="00CE3A46" w:rsidRDefault="00CE3A46" w:rsidP="00CE3A46">
            <w:pPr>
              <w:spacing w:after="0"/>
              <w:jc w:val="center"/>
              <w:rPr>
                <w:color w:val="auto"/>
              </w:rPr>
            </w:pPr>
            <w:r w:rsidRPr="00CE3A46">
              <w:rPr>
                <w:color w:val="auto"/>
              </w:rPr>
              <w:t>1.5</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4A018474" w14:textId="17FEED2F" w:rsidR="00CE3A46" w:rsidRPr="00CE3A46" w:rsidRDefault="00CE3A46" w:rsidP="00CE3A46">
            <w:pPr>
              <w:spacing w:after="0"/>
              <w:jc w:val="center"/>
              <w:rPr>
                <w:color w:val="auto"/>
              </w:rPr>
            </w:pPr>
            <w:r w:rsidRPr="00CE3A46">
              <w:rPr>
                <w:color w:val="auto"/>
              </w:rPr>
              <w:t>1.0</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374330BB" w14:textId="41C7E9AF"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27B14090" w14:textId="58975221" w:rsidR="00CE3A46" w:rsidRPr="00CE3A46" w:rsidRDefault="00CE3A46" w:rsidP="00CE3A46">
            <w:pPr>
              <w:spacing w:after="0"/>
              <w:jc w:val="center"/>
              <w:rPr>
                <w:color w:val="auto"/>
              </w:rPr>
            </w:pPr>
            <w:r w:rsidRPr="00CE3A46">
              <w:rPr>
                <w:color w:val="auto"/>
              </w:rPr>
              <w:t>1.4</w:t>
            </w:r>
          </w:p>
        </w:tc>
        <w:tc>
          <w:tcPr>
            <w:tcW w:w="239" w:type="dxa"/>
            <w:shd w:val="clear" w:color="auto" w:fill="auto"/>
            <w:vAlign w:val="center"/>
            <w:hideMark/>
          </w:tcPr>
          <w:p w14:paraId="5606AADB" w14:textId="77777777" w:rsidR="00CE3A46" w:rsidRPr="00D076AD" w:rsidRDefault="00CE3A46" w:rsidP="00CE3A46">
            <w:pPr>
              <w:spacing w:after="0"/>
              <w:rPr>
                <w:rFonts w:ascii="Times New Roman" w:eastAsia="Times New Roman" w:hAnsi="Times New Roman" w:cs="Times New Roman"/>
                <w:color w:val="auto"/>
                <w:lang w:eastAsia="en-AU"/>
              </w:rPr>
            </w:pPr>
          </w:p>
        </w:tc>
      </w:tr>
      <w:tr w:rsidR="00CE3A46" w:rsidRPr="00012446" w14:paraId="71901D24" w14:textId="77777777" w:rsidTr="00E45AA6">
        <w:trPr>
          <w:trHeight w:val="2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DA4E14F" w14:textId="5AB80133" w:rsidR="00CE3A46" w:rsidRPr="00D076AD" w:rsidRDefault="00CE3A46" w:rsidP="00CE3A46">
            <w:pPr>
              <w:spacing w:after="0"/>
              <w:rPr>
                <w:rFonts w:eastAsia="Times New Roman"/>
                <w:color w:val="auto"/>
                <w:lang w:eastAsia="en-AU"/>
              </w:rPr>
            </w:pPr>
            <w:r w:rsidRPr="00D076AD">
              <w:rPr>
                <w:color w:val="auto"/>
              </w:rPr>
              <w:t>Australia</w:t>
            </w:r>
          </w:p>
        </w:tc>
        <w:tc>
          <w:tcPr>
            <w:tcW w:w="1418" w:type="dxa"/>
            <w:tcBorders>
              <w:top w:val="nil"/>
              <w:left w:val="single" w:sz="8" w:space="0" w:color="333333"/>
              <w:bottom w:val="single" w:sz="8" w:space="0" w:color="333333"/>
              <w:right w:val="single" w:sz="4" w:space="0" w:color="333333"/>
            </w:tcBorders>
            <w:shd w:val="clear" w:color="auto" w:fill="auto"/>
            <w:vAlign w:val="center"/>
          </w:tcPr>
          <w:p w14:paraId="3CED5F4A" w14:textId="231FC394" w:rsidR="00CE3A46" w:rsidRPr="00D076AD" w:rsidRDefault="00CE3A46" w:rsidP="00CE3A46">
            <w:pPr>
              <w:spacing w:after="0"/>
              <w:rPr>
                <w:color w:val="auto"/>
              </w:rPr>
            </w:pPr>
            <w:r w:rsidRPr="00D076AD">
              <w:rPr>
                <w:color w:val="auto"/>
              </w:rPr>
              <w:t>Low</w:t>
            </w:r>
          </w:p>
        </w:tc>
        <w:tc>
          <w:tcPr>
            <w:tcW w:w="709" w:type="dxa"/>
            <w:tcBorders>
              <w:top w:val="nil"/>
              <w:left w:val="nil"/>
              <w:bottom w:val="single" w:sz="8" w:space="0" w:color="333333"/>
              <w:right w:val="single" w:sz="4" w:space="0" w:color="333333"/>
            </w:tcBorders>
            <w:shd w:val="clear" w:color="auto" w:fill="auto"/>
            <w:noWrap/>
            <w:vAlign w:val="center"/>
          </w:tcPr>
          <w:p w14:paraId="3D5E533A" w14:textId="28A18D9A" w:rsidR="00CE3A46" w:rsidRPr="00D076AD" w:rsidRDefault="00CE3A46" w:rsidP="00CE3A46">
            <w:pPr>
              <w:spacing w:after="0"/>
              <w:rPr>
                <w:rFonts w:eastAsia="Times New Roman"/>
                <w:color w:val="auto"/>
                <w:lang w:eastAsia="en-AU"/>
              </w:rPr>
            </w:pPr>
            <w:r w:rsidRPr="00D076AD">
              <w:rPr>
                <w:color w:val="auto"/>
              </w:rPr>
              <w:t>3.2</w:t>
            </w:r>
          </w:p>
        </w:tc>
        <w:tc>
          <w:tcPr>
            <w:tcW w:w="1417" w:type="dxa"/>
            <w:tcBorders>
              <w:top w:val="single" w:sz="4" w:space="0" w:color="333333"/>
              <w:left w:val="single" w:sz="4" w:space="0" w:color="333333"/>
              <w:bottom w:val="single" w:sz="8" w:space="0" w:color="333333"/>
              <w:right w:val="single" w:sz="4" w:space="0" w:color="333333"/>
            </w:tcBorders>
            <w:shd w:val="clear" w:color="auto" w:fill="auto"/>
            <w:noWrap/>
            <w:vAlign w:val="center"/>
          </w:tcPr>
          <w:p w14:paraId="66ABB342" w14:textId="28853F27" w:rsidR="00CE3A46" w:rsidRPr="00D076AD" w:rsidRDefault="00CE3A46" w:rsidP="00CE3A46">
            <w:pPr>
              <w:spacing w:after="0"/>
              <w:jc w:val="center"/>
              <w:rPr>
                <w:rFonts w:eastAsia="Times New Roman"/>
                <w:color w:val="auto"/>
                <w:lang w:eastAsia="en-AU"/>
              </w:rPr>
            </w:pPr>
            <w:r w:rsidRPr="00D076AD">
              <w:rPr>
                <w:color w:val="auto"/>
              </w:rPr>
              <w:t>1.3</w:t>
            </w:r>
          </w:p>
        </w:tc>
        <w:tc>
          <w:tcPr>
            <w:tcW w:w="1843" w:type="dxa"/>
            <w:tcBorders>
              <w:top w:val="single" w:sz="4" w:space="0" w:color="333333"/>
              <w:left w:val="single" w:sz="4" w:space="0" w:color="333333"/>
              <w:bottom w:val="single" w:sz="8" w:space="0" w:color="333333"/>
              <w:right w:val="single" w:sz="8" w:space="0" w:color="333333"/>
            </w:tcBorders>
            <w:shd w:val="clear" w:color="auto" w:fill="auto"/>
            <w:noWrap/>
            <w:vAlign w:val="center"/>
          </w:tcPr>
          <w:p w14:paraId="6408C6FD" w14:textId="681D62A1" w:rsidR="00CE3A46" w:rsidRPr="00D076AD" w:rsidRDefault="00CE3A46" w:rsidP="00CE3A46">
            <w:pPr>
              <w:spacing w:after="0"/>
              <w:jc w:val="center"/>
              <w:rPr>
                <w:rFonts w:eastAsia="Times New Roman"/>
                <w:color w:val="auto"/>
                <w:lang w:eastAsia="en-AU"/>
              </w:rPr>
            </w:pPr>
            <w:r w:rsidRPr="00D076AD">
              <w:rPr>
                <w:color w:val="auto"/>
              </w:rPr>
              <w:t>2.4</w:t>
            </w:r>
          </w:p>
        </w:tc>
        <w:tc>
          <w:tcPr>
            <w:tcW w:w="992" w:type="dxa"/>
            <w:tcBorders>
              <w:top w:val="single" w:sz="4" w:space="0" w:color="333333"/>
              <w:left w:val="nil"/>
              <w:bottom w:val="single" w:sz="4" w:space="0" w:color="333333"/>
              <w:right w:val="single" w:sz="4" w:space="0" w:color="333333"/>
            </w:tcBorders>
            <w:shd w:val="clear" w:color="auto" w:fill="auto"/>
            <w:noWrap/>
          </w:tcPr>
          <w:p w14:paraId="44EE60CD" w14:textId="08B73C59" w:rsidR="00CE3A46" w:rsidRPr="00CE3A46" w:rsidRDefault="00CE3A46" w:rsidP="00CE3A46">
            <w:pPr>
              <w:spacing w:after="0"/>
              <w:jc w:val="center"/>
              <w:rPr>
                <w:color w:val="auto"/>
              </w:rPr>
            </w:pPr>
            <w:r w:rsidRPr="00CE3A46">
              <w:rPr>
                <w:color w:val="auto"/>
              </w:rPr>
              <w:t>1.5</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08047191" w14:textId="334C8171" w:rsidR="00CE3A46" w:rsidRPr="00CE3A46" w:rsidRDefault="00CE3A46" w:rsidP="00CE3A46">
            <w:pPr>
              <w:spacing w:after="0"/>
              <w:jc w:val="center"/>
              <w:rPr>
                <w:color w:val="auto"/>
              </w:rPr>
            </w:pPr>
            <w:r w:rsidRPr="00CE3A46">
              <w:rPr>
                <w:color w:val="auto"/>
              </w:rPr>
              <w:t>1.2</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2D857A07" w14:textId="61A2F1A3" w:rsidR="00CE3A46" w:rsidRPr="00CE3A46" w:rsidRDefault="00CE3A46" w:rsidP="00CE3A46">
            <w:pPr>
              <w:spacing w:after="0"/>
              <w:jc w:val="center"/>
              <w:rPr>
                <w:color w:val="auto"/>
              </w:rPr>
            </w:pPr>
            <w:r w:rsidRPr="00CE3A46">
              <w:rPr>
                <w:color w:val="auto"/>
              </w:rPr>
              <w:t>1.6</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74A73AC7" w14:textId="46729291" w:rsidR="00CE3A46" w:rsidRPr="00CE3A46" w:rsidRDefault="00CE3A46" w:rsidP="00CE3A46">
            <w:pPr>
              <w:spacing w:after="0"/>
              <w:jc w:val="center"/>
              <w:rPr>
                <w:color w:val="auto"/>
              </w:rPr>
            </w:pPr>
            <w:r w:rsidRPr="00CE3A46">
              <w:rPr>
                <w:color w:val="auto"/>
              </w:rPr>
              <w:t>1.3</w:t>
            </w:r>
          </w:p>
        </w:tc>
        <w:tc>
          <w:tcPr>
            <w:tcW w:w="1134" w:type="dxa"/>
            <w:tcBorders>
              <w:top w:val="single" w:sz="4" w:space="0" w:color="333333"/>
              <w:left w:val="single" w:sz="4" w:space="0" w:color="333333"/>
              <w:bottom w:val="single" w:sz="4" w:space="0" w:color="333333"/>
              <w:right w:val="single" w:sz="4" w:space="0" w:color="333333"/>
            </w:tcBorders>
            <w:shd w:val="clear" w:color="auto" w:fill="auto"/>
            <w:noWrap/>
          </w:tcPr>
          <w:p w14:paraId="4E86D522" w14:textId="69EE9C13" w:rsidR="00CE3A46" w:rsidRPr="00CE3A46" w:rsidRDefault="00CE3A46" w:rsidP="00CE3A46">
            <w:pPr>
              <w:spacing w:after="0"/>
              <w:jc w:val="center"/>
              <w:rPr>
                <w:color w:val="auto"/>
              </w:rPr>
            </w:pPr>
            <w:r w:rsidRPr="00CE3A46">
              <w:rPr>
                <w:color w:val="auto"/>
              </w:rPr>
              <w:t>1.2</w:t>
            </w:r>
          </w:p>
        </w:tc>
        <w:tc>
          <w:tcPr>
            <w:tcW w:w="1418" w:type="dxa"/>
            <w:tcBorders>
              <w:top w:val="single" w:sz="4" w:space="0" w:color="333333"/>
              <w:left w:val="single" w:sz="4" w:space="0" w:color="333333"/>
              <w:bottom w:val="single" w:sz="4" w:space="0" w:color="333333"/>
              <w:right w:val="single" w:sz="4" w:space="0" w:color="333333"/>
            </w:tcBorders>
            <w:shd w:val="clear" w:color="auto" w:fill="auto"/>
            <w:noWrap/>
          </w:tcPr>
          <w:p w14:paraId="25AB6879" w14:textId="015F8793" w:rsidR="00CE3A46" w:rsidRPr="00CE3A46" w:rsidRDefault="00CE3A46" w:rsidP="00CE3A46">
            <w:pPr>
              <w:spacing w:after="0"/>
              <w:jc w:val="center"/>
              <w:rPr>
                <w:color w:val="auto"/>
              </w:rPr>
            </w:pPr>
            <w:r w:rsidRPr="00CE3A46">
              <w:rPr>
                <w:color w:val="auto"/>
              </w:rPr>
              <w:t>5.0</w:t>
            </w:r>
          </w:p>
        </w:tc>
        <w:tc>
          <w:tcPr>
            <w:tcW w:w="1105" w:type="dxa"/>
            <w:tcBorders>
              <w:top w:val="single" w:sz="4" w:space="0" w:color="333333"/>
              <w:left w:val="single" w:sz="4" w:space="0" w:color="333333"/>
              <w:bottom w:val="single" w:sz="4" w:space="0" w:color="333333"/>
              <w:right w:val="single" w:sz="4" w:space="0" w:color="333333"/>
            </w:tcBorders>
            <w:shd w:val="clear" w:color="auto" w:fill="auto"/>
            <w:noWrap/>
          </w:tcPr>
          <w:p w14:paraId="3BD3ABBF" w14:textId="71173CC9" w:rsidR="00CE3A46" w:rsidRPr="00CE3A46" w:rsidRDefault="00CE3A46" w:rsidP="00CE3A46">
            <w:pPr>
              <w:spacing w:after="0"/>
              <w:jc w:val="center"/>
              <w:rPr>
                <w:color w:val="auto"/>
              </w:rPr>
            </w:pPr>
            <w:r w:rsidRPr="00CE3A46">
              <w:rPr>
                <w:color w:val="auto"/>
              </w:rPr>
              <w:t>1.0</w:t>
            </w:r>
          </w:p>
        </w:tc>
        <w:tc>
          <w:tcPr>
            <w:tcW w:w="239" w:type="dxa"/>
            <w:shd w:val="clear" w:color="auto" w:fill="auto"/>
            <w:vAlign w:val="center"/>
            <w:hideMark/>
          </w:tcPr>
          <w:p w14:paraId="4270844C" w14:textId="77777777" w:rsidR="00CE3A46" w:rsidRPr="00D076AD" w:rsidRDefault="00CE3A46" w:rsidP="00CE3A46">
            <w:pPr>
              <w:spacing w:after="0"/>
              <w:rPr>
                <w:rFonts w:ascii="Times New Roman" w:eastAsia="Times New Roman" w:hAnsi="Times New Roman" w:cs="Times New Roman"/>
                <w:color w:val="auto"/>
                <w:lang w:eastAsia="en-AU"/>
              </w:rPr>
            </w:pPr>
          </w:p>
        </w:tc>
      </w:tr>
    </w:tbl>
    <w:p w14:paraId="554A250B" w14:textId="77777777" w:rsidR="0006253D" w:rsidRDefault="0006253D" w:rsidP="001B600C">
      <w:pPr>
        <w:pStyle w:val="Heading1"/>
        <w:sectPr w:rsidR="0006253D" w:rsidSect="0006253D">
          <w:pgSz w:w="16840" w:h="11900" w:orient="landscape"/>
          <w:pgMar w:top="1014" w:right="1440" w:bottom="1440" w:left="1440" w:header="708" w:footer="567" w:gutter="0"/>
          <w:cols w:space="708"/>
          <w:titlePg/>
          <w:docGrid w:linePitch="360"/>
        </w:sectPr>
      </w:pPr>
    </w:p>
    <w:p w14:paraId="43789151" w14:textId="2A91D5CB" w:rsidR="006172B9" w:rsidRDefault="006172B9" w:rsidP="002D6A18">
      <w:pPr>
        <w:pStyle w:val="Heading2"/>
        <w:spacing w:after="0"/>
      </w:pPr>
      <w:r>
        <w:lastRenderedPageBreak/>
        <w:t>Case studies</w:t>
      </w:r>
    </w:p>
    <w:p w14:paraId="0385AC22" w14:textId="6876FA6C" w:rsidR="006172B9" w:rsidRDefault="0012237B" w:rsidP="006172B9">
      <w:r>
        <w:t xml:space="preserve">As mentioned in the introduction, case studies were developed of both India and Viet Nam to validate the findings of the index. </w:t>
      </w:r>
      <w:r w:rsidR="006172B9">
        <w:t>The results from the index for Viet</w:t>
      </w:r>
      <w:r>
        <w:t xml:space="preserve"> N</w:t>
      </w:r>
      <w:r w:rsidR="006172B9">
        <w:t>am showed that while it was strong in its ability to contain the spread, it was relatively weak in its ability to delay the ‘spark’ and average for its ability to treat and recover. This is consistent with what was learned from the Vietnamese case study and experience to date.</w:t>
      </w:r>
      <w:r>
        <w:t xml:space="preserve"> Further, t</w:t>
      </w:r>
      <w:r w:rsidR="006172B9">
        <w:t>he results from the index for India showed that while it is least vulnerable in its ability to delay the spark (relative to other risk elements), it is vulnerable in all other risk elements. This is consistent with what was learned through the case study as India began seeing significant cases later than many other countries, but when it arrived, it had devastating impacts and quickly became uncontrollable.</w:t>
      </w:r>
      <w:r>
        <w:t xml:space="preserve"> As the index has in both cases produced results that </w:t>
      </w:r>
      <w:r w:rsidR="00147343">
        <w:t>are</w:t>
      </w:r>
      <w:r>
        <w:t xml:space="preserve"> predictable from the </w:t>
      </w:r>
      <w:r w:rsidR="00147343">
        <w:t>literature,</w:t>
      </w:r>
      <w:r>
        <w:t xml:space="preserve"> </w:t>
      </w:r>
      <w:r w:rsidR="00147343">
        <w:t>we see that the index is somewhat validated.</w:t>
      </w:r>
    </w:p>
    <w:p w14:paraId="052CB2DB" w14:textId="3F3DBF45" w:rsidR="001B600C" w:rsidRDefault="001B600C" w:rsidP="00570309">
      <w:pPr>
        <w:pStyle w:val="Heading1"/>
        <w:spacing w:after="0"/>
      </w:pPr>
      <w:r>
        <w:t>Discussion</w:t>
      </w:r>
      <w:r w:rsidR="00691CE0">
        <w:t xml:space="preserve"> and conclusion</w:t>
      </w:r>
    </w:p>
    <w:p w14:paraId="51B1FED9" w14:textId="67BC3583" w:rsidR="00694FFF" w:rsidRDefault="00694FFF" w:rsidP="00147343">
      <w:r>
        <w:t xml:space="preserve">This project has created and validated a rapid COVID-19 and water security risk assessment method and indexed 47 countries in the Asia Pacific. The project developed a risk based holistic pandemic framework from which factors relevant to the impact the COVID-19 may have in a country were categorised. This framework and factors lead the development of a method for </w:t>
      </w:r>
      <w:r w:rsidR="00A06803">
        <w:t>calculating</w:t>
      </w:r>
      <w:r>
        <w:t xml:space="preserve"> each countr</w:t>
      </w:r>
      <w:r w:rsidR="00A06803">
        <w:t>y’</w:t>
      </w:r>
      <w:r>
        <w:t xml:space="preserve">s overall risk and </w:t>
      </w:r>
      <w:r w:rsidR="00A06803">
        <w:t xml:space="preserve">a rating for </w:t>
      </w:r>
      <w:r>
        <w:t xml:space="preserve">five temporal risk elements. </w:t>
      </w:r>
      <w:r w:rsidR="00A06803">
        <w:t>As water services can greatly improve a countries response to this pandemic, m</w:t>
      </w:r>
      <w:r>
        <w:t>any of the factors are related to water security</w:t>
      </w:r>
      <w:r w:rsidR="00A06803">
        <w:t>. B</w:t>
      </w:r>
      <w:r>
        <w:t xml:space="preserve">y understanding how </w:t>
      </w:r>
      <w:proofErr w:type="gramStart"/>
      <w:r>
        <w:t xml:space="preserve">these </w:t>
      </w:r>
      <w:r w:rsidR="00A06803">
        <w:t>water</w:t>
      </w:r>
      <w:proofErr w:type="gramEnd"/>
      <w:r w:rsidR="00A06803">
        <w:t xml:space="preserve"> related </w:t>
      </w:r>
      <w:r>
        <w:t xml:space="preserve">factors impact a countries </w:t>
      </w:r>
      <w:r w:rsidR="00481A68">
        <w:t>risk from</w:t>
      </w:r>
      <w:r>
        <w:t xml:space="preserve"> COVID-19</w:t>
      </w:r>
      <w:r w:rsidR="00A06803">
        <w:t>,</w:t>
      </w:r>
      <w:r>
        <w:t xml:space="preserve"> potential water security interventions that address relevant factors can be </w:t>
      </w:r>
      <w:r w:rsidR="00A06803">
        <w:t xml:space="preserve">identified, screened, and </w:t>
      </w:r>
      <w:r>
        <w:t>prioritised</w:t>
      </w:r>
      <w:r w:rsidR="00EE17DA">
        <w:t xml:space="preserve"> prior to a more detailed planning phase</w:t>
      </w:r>
      <w:r>
        <w:t>.</w:t>
      </w:r>
      <w:r w:rsidR="00EE17DA">
        <w:t xml:space="preserve"> Further, the nature of the method used to create the index allows for it to become a “live” tool, possible to update regularly with new factors, datasets, or weightings as new science or data becomes available.</w:t>
      </w:r>
    </w:p>
    <w:p w14:paraId="2B7759D1" w14:textId="3A5DDE39" w:rsidR="00147343" w:rsidRDefault="00694FFF" w:rsidP="00147343">
      <w:r>
        <w:t>The major limitation of th</w:t>
      </w:r>
      <w:r w:rsidR="00E2248B">
        <w:t>e assessment tool</w:t>
      </w:r>
      <w:r>
        <w:t xml:space="preserve"> is that better datasets are needed </w:t>
      </w:r>
      <w:proofErr w:type="gramStart"/>
      <w:r>
        <w:t>in order to</w:t>
      </w:r>
      <w:proofErr w:type="gramEnd"/>
      <w:r>
        <w:t xml:space="preserve"> fully understand each country’s </w:t>
      </w:r>
      <w:r w:rsidR="00481A68">
        <w:t xml:space="preserve">risk from </w:t>
      </w:r>
      <w:r>
        <w:t>COVID-19. Of note, there are major data gaps in the Joint Monitoring Program Handwashing and WASH in public spaces dataset</w:t>
      </w:r>
      <w:r w:rsidR="00A06803">
        <w:t>s and</w:t>
      </w:r>
      <w:r>
        <w:t xml:space="preserve"> the IBNet Water Utility database does not include many of the critical elements when determining a water utility’s vulnerability and has limited recent data.</w:t>
      </w:r>
      <w:r w:rsidR="009B7C45">
        <w:t xml:space="preserve"> Further, some critical non-water related datasets were also not able to be found</w:t>
      </w:r>
      <w:r w:rsidR="00C25AED">
        <w:t xml:space="preserve">, </w:t>
      </w:r>
      <w:proofErr w:type="gramStart"/>
      <w:r w:rsidR="00C25AED">
        <w:t>in particular the</w:t>
      </w:r>
      <w:proofErr w:type="gramEnd"/>
      <w:r w:rsidR="00C25AED">
        <w:t xml:space="preserve"> time since a major pandemic and an appropriate metric that reflects</w:t>
      </w:r>
      <w:r w:rsidR="000015D3">
        <w:t xml:space="preserve"> high density populations </w:t>
      </w:r>
      <w:r w:rsidR="00842446">
        <w:t>and</w:t>
      </w:r>
      <w:r w:rsidR="000015D3">
        <w:t xml:space="preserve"> their ability to isolate.</w:t>
      </w:r>
    </w:p>
    <w:p w14:paraId="20CA45EE" w14:textId="6CAB0A37" w:rsidR="00694FFF" w:rsidRDefault="00694FFF" w:rsidP="00147343">
      <w:r>
        <w:t xml:space="preserve">Pacific countries (and Timor-Leste) have a high ability to delay the spark of the pandemic (due to tight control of their island-borders) but were the pandemic to take hold they have little ability to contain the virus or treat affected patients. In much of the Pacific, access to WASH in the home is a key contributor to these vulnerabilities. Further, due to their high </w:t>
      </w:r>
      <w:r>
        <w:lastRenderedPageBreak/>
        <w:t>dependence on tourism it may be difficult for governments to keep borders closed for extended periods of time, making them vulnerable to more “sparks” in future.</w:t>
      </w:r>
      <w:r w:rsidRPr="003C4051">
        <w:t xml:space="preserve"> </w:t>
      </w:r>
      <w:r>
        <w:t xml:space="preserve">Further, </w:t>
      </w:r>
      <w:r w:rsidR="00A06803">
        <w:t xml:space="preserve">many </w:t>
      </w:r>
      <w:r>
        <w:t>water utilities in the Pacific have a low income to expense ratio. This means that they are supported by subsidies which could be reduced because of COVID-19 impacts internationally, particularly if government income from tourism is significantly reduced, this could place the utilities at risk of not being able to pay expenses and becoming unviable.</w:t>
      </w:r>
    </w:p>
    <w:p w14:paraId="1DEED2AC" w14:textId="5FA941EE" w:rsidR="00694FFF" w:rsidRDefault="00694FFF" w:rsidP="00147343">
      <w:r>
        <w:t xml:space="preserve">In Central West Asia, Pakistan and Afghanistan are two of the most </w:t>
      </w:r>
      <w:r w:rsidR="00481A68">
        <w:t xml:space="preserve">at risk </w:t>
      </w:r>
      <w:r>
        <w:t xml:space="preserve">countries in the Asia-Pacific. Both are </w:t>
      </w:r>
      <w:r w:rsidR="007C41DA">
        <w:t xml:space="preserve">at risk </w:t>
      </w:r>
      <w:r>
        <w:t xml:space="preserve">because of many factors including those related to water. Improving WASH in the home would significantly help both countries to contain the spread of the virus, though it may be too late to act on this for the current wave of this pandemic as they are both already seeing significant case numbers. Both countries have high levels of water collection burden, which predominantly falls to women, therefore there may be further gender </w:t>
      </w:r>
      <w:r w:rsidR="00F35588">
        <w:t xml:space="preserve">equality </w:t>
      </w:r>
      <w:r>
        <w:t xml:space="preserve">related WASH issues </w:t>
      </w:r>
      <w:r w:rsidR="00B0319B">
        <w:t>caused by</w:t>
      </w:r>
      <w:r>
        <w:t xml:space="preserve"> the pandemic. Water utilities in both countries have low income to expense ratios meaning their utilities are vulnerable, particularly in Afghanistan, due also to high levels of foreign aid</w:t>
      </w:r>
      <w:r w:rsidRPr="009033F3">
        <w:t xml:space="preserve"> </w:t>
      </w:r>
      <w:r>
        <w:t>dependence. Afghanistan has a further issue in that their economic water security is poor, which may impede its ability to recover from the impacts of COVID-19.</w:t>
      </w:r>
    </w:p>
    <w:p w14:paraId="3E97EAFB" w14:textId="7B532531" w:rsidR="00694FFF" w:rsidRPr="00147343" w:rsidRDefault="00694FFF" w:rsidP="00147343">
      <w:r>
        <w:t xml:space="preserve">In South Asia there is a clear differentiation between the continental and island nations. Continental South Asia countries have similar </w:t>
      </w:r>
      <w:r w:rsidR="007C41DA">
        <w:t xml:space="preserve">risks </w:t>
      </w:r>
      <w:r>
        <w:t xml:space="preserve">to Pakistan </w:t>
      </w:r>
      <w:r w:rsidR="00B0319B">
        <w:t>with</w:t>
      </w:r>
      <w:r>
        <w:t xml:space="preserve"> Island nations being relatively low risk overall.</w:t>
      </w:r>
    </w:p>
    <w:p w14:paraId="1D801364" w14:textId="77777777" w:rsidR="00694FFF" w:rsidRDefault="00694FFF" w:rsidP="00694FFF">
      <w:r>
        <w:t>The South East Asian region has a relatively strong ability to contain the spread, which is in line with the number of cases that have occurred in many of these countries. However, South East Asia generally has a low ability to delay the spark and therefore is at higher risk of subsequent, multiple waves of the virus.</w:t>
      </w:r>
      <w:r w:rsidRPr="007C3BC6">
        <w:t xml:space="preserve"> </w:t>
      </w:r>
      <w:r>
        <w:t>Were a wave to spark and spread uncontrollably, most countries in the region will have difficultly treating patients. As such, continued border shutdowns and vigilance are crucial.</w:t>
      </w:r>
    </w:p>
    <w:p w14:paraId="5D08B6F7" w14:textId="2C860C94" w:rsidR="001B600C" w:rsidRDefault="001B600C" w:rsidP="00570309">
      <w:pPr>
        <w:pStyle w:val="Heading2"/>
        <w:spacing w:after="0"/>
      </w:pPr>
      <w:r>
        <w:t>Limitations</w:t>
      </w:r>
    </w:p>
    <w:p w14:paraId="48DB34E7" w14:textId="79FDDB11" w:rsidR="00764C13" w:rsidRDefault="00764C13" w:rsidP="00764C13">
      <w:r>
        <w:t xml:space="preserve">The </w:t>
      </w:r>
      <w:r w:rsidR="00EF1F14">
        <w:t xml:space="preserve">primary </w:t>
      </w:r>
      <w:r>
        <w:t xml:space="preserve">limitation of this study and </w:t>
      </w:r>
      <w:r w:rsidR="00EF1F14">
        <w:t xml:space="preserve">resultant </w:t>
      </w:r>
      <w:r>
        <w:t>index is that COVID-19 is a new illness and relatively little is known about it</w:t>
      </w:r>
      <w:r w:rsidR="00EF1F14">
        <w:t xml:space="preserve"> or the SARS-CoV-2 virus that is responsible</w:t>
      </w:r>
      <w:r>
        <w:t>. While the assessment has been completed with reference to the best available scien</w:t>
      </w:r>
      <w:r w:rsidR="00EF1F14">
        <w:t>tific information</w:t>
      </w:r>
      <w:r>
        <w:t xml:space="preserve"> as of early June</w:t>
      </w:r>
      <w:r w:rsidR="00A91077">
        <w:t xml:space="preserve"> 2020</w:t>
      </w:r>
      <w:r>
        <w:t xml:space="preserve">, this </w:t>
      </w:r>
      <w:r w:rsidR="00EF1F14">
        <w:t xml:space="preserve">will </w:t>
      </w:r>
      <w:r>
        <w:t>become outdated</w:t>
      </w:r>
      <w:r w:rsidR="00EF1F14" w:rsidRPr="00EF1F14">
        <w:t xml:space="preserve"> </w:t>
      </w:r>
      <w:r w:rsidR="00EF1F14">
        <w:t>quickly. It is likely that</w:t>
      </w:r>
      <w:r>
        <w:t xml:space="preserve"> new factors </w:t>
      </w:r>
      <w:r w:rsidR="00EF1F14">
        <w:t xml:space="preserve">will </w:t>
      </w:r>
      <w:r>
        <w:t xml:space="preserve">need to be </w:t>
      </w:r>
      <w:r w:rsidR="00803C04">
        <w:t>added</w:t>
      </w:r>
      <w:r w:rsidR="00EF1F14">
        <w:t>, data may become available for factors identified but not included to date due to a lack of data</w:t>
      </w:r>
      <w:r w:rsidR="00802FA1">
        <w:t>,</w:t>
      </w:r>
      <w:r>
        <w:t xml:space="preserve"> and calculation methods </w:t>
      </w:r>
      <w:r w:rsidR="00EF1F14">
        <w:t xml:space="preserve">may need to be </w:t>
      </w:r>
      <w:r>
        <w:t xml:space="preserve">altered. For this reason, it is proposed that this index become a living document, revised monthly to ensure it stays up to date with the </w:t>
      </w:r>
      <w:r w:rsidR="00EF1F14">
        <w:t xml:space="preserve">latest </w:t>
      </w:r>
      <w:r>
        <w:t>science.</w:t>
      </w:r>
    </w:p>
    <w:p w14:paraId="4DBA37F0" w14:textId="501573BD" w:rsidR="007503A8" w:rsidRDefault="00764C13" w:rsidP="00764C13">
      <w:r>
        <w:t>A further key limitation, which is a limitation of all indexing methods</w:t>
      </w:r>
      <w:r w:rsidR="00803C04">
        <w:t>,</w:t>
      </w:r>
      <w:r>
        <w:t xml:space="preserve"> is that the</w:t>
      </w:r>
      <w:r w:rsidR="00570309">
        <w:t xml:space="preserve">re </w:t>
      </w:r>
      <w:r w:rsidR="00EF1F14">
        <w:t xml:space="preserve">is a lack of available, </w:t>
      </w:r>
      <w:r w:rsidR="00570309">
        <w:t xml:space="preserve">appropriate </w:t>
      </w:r>
      <w:r>
        <w:t xml:space="preserve">data available </w:t>
      </w:r>
      <w:r w:rsidR="00570309">
        <w:t xml:space="preserve">to represent </w:t>
      </w:r>
      <w:r w:rsidR="00802FA1">
        <w:t>all</w:t>
      </w:r>
      <w:r w:rsidR="00EF1F14">
        <w:t xml:space="preserve"> </w:t>
      </w:r>
      <w:r w:rsidR="00570309">
        <w:t>the factors</w:t>
      </w:r>
      <w:r w:rsidR="00EF1F14">
        <w:t xml:space="preserve"> identified as being </w:t>
      </w:r>
      <w:r w:rsidR="00EF1F14">
        <w:lastRenderedPageBreak/>
        <w:t>important</w:t>
      </w:r>
      <w:r w:rsidR="00570309">
        <w:t>. This means that factors often need to be represented by prox</w:t>
      </w:r>
      <w:r w:rsidR="00803C04">
        <w:t>y</w:t>
      </w:r>
      <w:r w:rsidR="00570309">
        <w:t xml:space="preserve"> </w:t>
      </w:r>
      <w:r w:rsidR="00803C04">
        <w:t>metrics</w:t>
      </w:r>
      <w:r w:rsidR="00EF1F14">
        <w:t xml:space="preserve"> that are</w:t>
      </w:r>
      <w:r w:rsidR="00803C04">
        <w:t xml:space="preserve"> </w:t>
      </w:r>
      <w:r w:rsidR="00EF1F14">
        <w:t xml:space="preserve">not entirely appropriate </w:t>
      </w:r>
      <w:r w:rsidR="00570309">
        <w:t>or that</w:t>
      </w:r>
      <w:r w:rsidR="00EF1F14">
        <w:t xml:space="preserve"> certain</w:t>
      </w:r>
      <w:r w:rsidR="00570309">
        <w:t xml:space="preserve"> factor</w:t>
      </w:r>
      <w:r w:rsidR="00EF1F14">
        <w:t>s</w:t>
      </w:r>
      <w:r w:rsidR="00570309">
        <w:t xml:space="preserve"> </w:t>
      </w:r>
      <w:r w:rsidR="00EF1F14">
        <w:t>are not able to be included at all</w:t>
      </w:r>
      <w:r w:rsidR="00570309">
        <w:t xml:space="preserve">. </w:t>
      </w:r>
      <w:r w:rsidR="007503A8">
        <w:t xml:space="preserve">Further to this point, some key </w:t>
      </w:r>
      <w:r w:rsidR="00803C04">
        <w:t>datasets</w:t>
      </w:r>
      <w:r w:rsidR="007503A8">
        <w:t xml:space="preserve"> (</w:t>
      </w:r>
      <w:proofErr w:type="gramStart"/>
      <w:r w:rsidR="007503A8">
        <w:t>in particular access</w:t>
      </w:r>
      <w:proofErr w:type="gramEnd"/>
      <w:r w:rsidR="007503A8">
        <w:t xml:space="preserve"> to handwashing and WASH in public places) </w:t>
      </w:r>
      <w:r w:rsidR="00803C04">
        <w:t>had</w:t>
      </w:r>
      <w:r w:rsidR="007503A8">
        <w:t xml:space="preserve"> many data gaps. Access to handwashing</w:t>
      </w:r>
      <w:r w:rsidR="00EF1F14">
        <w:t>,</w:t>
      </w:r>
      <w:r w:rsidR="007503A8">
        <w:t xml:space="preserve"> in particular</w:t>
      </w:r>
      <w:r w:rsidR="00EF1F14">
        <w:t>,</w:t>
      </w:r>
      <w:r w:rsidR="007503A8">
        <w:t xml:space="preserve"> is so vital for </w:t>
      </w:r>
      <w:r w:rsidR="00803C04">
        <w:t xml:space="preserve">a </w:t>
      </w:r>
      <w:r w:rsidR="007503A8">
        <w:t>country</w:t>
      </w:r>
      <w:r w:rsidR="00803C04">
        <w:t>’s ability</w:t>
      </w:r>
      <w:r w:rsidR="007503A8">
        <w:t xml:space="preserve"> to contain the spread of </w:t>
      </w:r>
      <w:r w:rsidR="00803C04">
        <w:t>the</w:t>
      </w:r>
      <w:r w:rsidR="007503A8">
        <w:t xml:space="preserve"> pandemic and therefore any </w:t>
      </w:r>
      <w:r w:rsidR="00803C04">
        <w:t>index</w:t>
      </w:r>
      <w:r w:rsidR="007503A8">
        <w:t xml:space="preserve"> </w:t>
      </w:r>
      <w:r w:rsidR="00803C04">
        <w:t>will</w:t>
      </w:r>
      <w:r w:rsidR="007503A8">
        <w:t xml:space="preserve"> become more difficult </w:t>
      </w:r>
      <w:r w:rsidR="00803C04">
        <w:t>to accurately assess the risk from COVID-19 if</w:t>
      </w:r>
      <w:r w:rsidR="007503A8">
        <w:t xml:space="preserve"> many higher risk countries do not report on it.</w:t>
      </w:r>
    </w:p>
    <w:p w14:paraId="47C1F208" w14:textId="0E9BF408" w:rsidR="007503A8" w:rsidRDefault="007503A8" w:rsidP="00764C13">
      <w:r>
        <w:t xml:space="preserve">Another limitation is in the overall risk rating given to each country. While the equation to calculate it is relatively robust, it is </w:t>
      </w:r>
      <w:r w:rsidR="00EF1F14">
        <w:t xml:space="preserve">inevitably </w:t>
      </w:r>
      <w:r>
        <w:t xml:space="preserve">an </w:t>
      </w:r>
      <w:r w:rsidR="00281D00">
        <w:t>oversimplification</w:t>
      </w:r>
      <w:r>
        <w:t xml:space="preserve">, not </w:t>
      </w:r>
      <w:r w:rsidR="00EF1F14">
        <w:t xml:space="preserve">able to capture </w:t>
      </w:r>
      <w:r>
        <w:t>the whole</w:t>
      </w:r>
      <w:r w:rsidR="00281D00">
        <w:t>, complex</w:t>
      </w:r>
      <w:r>
        <w:t xml:space="preserve"> story. For example, while appearing to be relatively high risk, Pacific countries have generally recorded</w:t>
      </w:r>
      <w:r w:rsidR="00803C04">
        <w:t xml:space="preserve"> a</w:t>
      </w:r>
      <w:r>
        <w:t xml:space="preserve"> low number of cases</w:t>
      </w:r>
      <w:r w:rsidR="00281D00">
        <w:t xml:space="preserve">. </w:t>
      </w:r>
      <w:r w:rsidR="00803C04">
        <w:t>This</w:t>
      </w:r>
      <w:r w:rsidR="00281D00">
        <w:t xml:space="preserve"> </w:t>
      </w:r>
      <w:r w:rsidR="00803C04">
        <w:t>is the result of</w:t>
      </w:r>
      <w:r w:rsidR="00281D00">
        <w:t xml:space="preserve"> </w:t>
      </w:r>
      <w:r w:rsidR="00803C04">
        <w:t xml:space="preserve">these </w:t>
      </w:r>
      <w:r w:rsidR="00281D00">
        <w:t xml:space="preserve">countries </w:t>
      </w:r>
      <w:r w:rsidR="00803C04">
        <w:t>closing</w:t>
      </w:r>
      <w:r w:rsidR="00281D00">
        <w:t xml:space="preserve"> their borders (reflected </w:t>
      </w:r>
      <w:r w:rsidR="00A910F8">
        <w:t xml:space="preserve">by </w:t>
      </w:r>
      <w:r w:rsidR="00EF1F14">
        <w:t>high scores for “</w:t>
      </w:r>
      <w:r w:rsidR="00281D00">
        <w:t>ability to delay</w:t>
      </w:r>
      <w:r w:rsidR="00EF1F14">
        <w:t>”</w:t>
      </w:r>
      <w:r w:rsidR="00281D00">
        <w:t>)</w:t>
      </w:r>
      <w:r w:rsidR="00803C04">
        <w:t>.</w:t>
      </w:r>
      <w:r w:rsidR="00281D00">
        <w:t xml:space="preserve"> </w:t>
      </w:r>
      <w:r w:rsidR="00803C04">
        <w:t>H</w:t>
      </w:r>
      <w:r w:rsidR="00281D00">
        <w:t xml:space="preserve">owever, were the </w:t>
      </w:r>
      <w:r w:rsidR="00546263">
        <w:t xml:space="preserve">virus </w:t>
      </w:r>
      <w:r w:rsidR="00281D00">
        <w:t xml:space="preserve">to arrive in significant numbers </w:t>
      </w:r>
      <w:r w:rsidR="00803C04">
        <w:t>in</w:t>
      </w:r>
      <w:r w:rsidR="00281D00">
        <w:t xml:space="preserve"> a Pacific country, it would likely be very difficult for the government to contain or treat the illness and </w:t>
      </w:r>
      <w:r w:rsidR="00EF1F14">
        <w:t xml:space="preserve">it </w:t>
      </w:r>
      <w:r w:rsidR="00281D00">
        <w:t xml:space="preserve">would have devastating </w:t>
      </w:r>
      <w:r w:rsidR="00803C04">
        <w:t>impacts</w:t>
      </w:r>
      <w:r w:rsidR="00281D00">
        <w:t>. For this reason, it is recommended that the overall risk rating be used mainly as a</w:t>
      </w:r>
      <w:r w:rsidR="00EF1F14">
        <w:t xml:space="preserve">n initial </w:t>
      </w:r>
      <w:r w:rsidR="00281D00">
        <w:t xml:space="preserve">guide, with the temporal risk elements </w:t>
      </w:r>
      <w:r w:rsidR="00EF1F14">
        <w:t xml:space="preserve">providing </w:t>
      </w:r>
      <w:r w:rsidR="00281D00">
        <w:t xml:space="preserve">a much more </w:t>
      </w:r>
      <w:r w:rsidR="00EF1F14">
        <w:t xml:space="preserve">useful profile of risk. In addition, </w:t>
      </w:r>
      <w:r w:rsidR="00601074">
        <w:t>all the findings of this index will need to be ground-</w:t>
      </w:r>
      <w:proofErr w:type="spellStart"/>
      <w:r w:rsidR="00601074">
        <w:t>truthed</w:t>
      </w:r>
      <w:proofErr w:type="spellEnd"/>
      <w:r w:rsidR="00601074">
        <w:t xml:space="preserve"> during the planning of any project.</w:t>
      </w:r>
      <w:r w:rsidR="00277859">
        <w:t xml:space="preserve"> As such this work would benefit from an extension project in which each country’s COVID-19 story was told, similar to the India and Viet Nam case studies, and reflected upon in light of the results from the index</w:t>
      </w:r>
      <w:r w:rsidR="00BE697B">
        <w:t xml:space="preserve"> to support discussions around DFAT supporting COVID-19 responses</w:t>
      </w:r>
      <w:r w:rsidR="00277859">
        <w:t xml:space="preserve">. This extension should also comment on the impact of data gaps on each country and create </w:t>
      </w:r>
      <w:r w:rsidR="00BE697B">
        <w:t xml:space="preserve">priorities for </w:t>
      </w:r>
      <w:r w:rsidR="00277859">
        <w:t>country specific water-based intervention</w:t>
      </w:r>
      <w:r w:rsidR="00BE697B">
        <w:t>s</w:t>
      </w:r>
      <w:r w:rsidR="00277859">
        <w:t xml:space="preserve">. </w:t>
      </w:r>
    </w:p>
    <w:p w14:paraId="5B04DEDD" w14:textId="6A996FEC" w:rsidR="001B600C" w:rsidRDefault="00004351" w:rsidP="00570309">
      <w:pPr>
        <w:pStyle w:val="Heading2"/>
        <w:spacing w:after="0"/>
      </w:pPr>
      <w:r>
        <w:t>Key r</w:t>
      </w:r>
      <w:r w:rsidR="001B600C">
        <w:t>ecommendations</w:t>
      </w:r>
    </w:p>
    <w:p w14:paraId="2A3ADA7E" w14:textId="3FC6D1EB" w:rsidR="008B4D9F" w:rsidRDefault="008B4D9F" w:rsidP="008B4D9F">
      <w:r>
        <w:t xml:space="preserve">Several key recommendations have been </w:t>
      </w:r>
      <w:r w:rsidR="00206727">
        <w:t>developed</w:t>
      </w:r>
      <w:r>
        <w:t xml:space="preserve"> through this project. As mentioned in the limitation</w:t>
      </w:r>
      <w:r w:rsidR="00206727">
        <w:t>s</w:t>
      </w:r>
      <w:r>
        <w:t xml:space="preserve"> this tool can only prioritise and shortlist potential </w:t>
      </w:r>
      <w:r w:rsidR="004916CD">
        <w:t xml:space="preserve">interventions and further targeted investigation </w:t>
      </w:r>
      <w:r w:rsidR="00206727">
        <w:t>is</w:t>
      </w:r>
      <w:r w:rsidR="004916CD">
        <w:t xml:space="preserve"> </w:t>
      </w:r>
      <w:r w:rsidR="00206727">
        <w:t>required</w:t>
      </w:r>
      <w:r w:rsidR="004916CD">
        <w:t xml:space="preserve"> to confirm the findings in the planning phase of any future </w:t>
      </w:r>
      <w:r w:rsidR="00AE6823">
        <w:t>intervention</w:t>
      </w:r>
      <w:r w:rsidR="004916CD">
        <w:t xml:space="preserve">. </w:t>
      </w:r>
      <w:r>
        <w:t xml:space="preserve">The recommendations below target the </w:t>
      </w:r>
      <w:r w:rsidR="007C41DA">
        <w:t xml:space="preserve">specific risks </w:t>
      </w:r>
      <w:r>
        <w:t>discussed above and have been categorised into short, medium, and long term.</w:t>
      </w:r>
    </w:p>
    <w:p w14:paraId="410F52CA" w14:textId="51561345" w:rsidR="008B4D9F" w:rsidRDefault="004916CD" w:rsidP="008B4D9F">
      <w:r>
        <w:t>Short term recommendations include:</w:t>
      </w:r>
    </w:p>
    <w:p w14:paraId="6E2E2E3B" w14:textId="473518E8" w:rsidR="004916CD" w:rsidRDefault="004916CD" w:rsidP="004916CD">
      <w:pPr>
        <w:pStyle w:val="ListParagraph"/>
        <w:numPr>
          <w:ilvl w:val="0"/>
          <w:numId w:val="31"/>
        </w:numPr>
      </w:pPr>
      <w:r>
        <w:t>Urgent focus needs to be placed on increasing WASH in the home</w:t>
      </w:r>
      <w:r w:rsidR="00206727">
        <w:t xml:space="preserve">, </w:t>
      </w:r>
      <w:proofErr w:type="gramStart"/>
      <w:r w:rsidR="00206727">
        <w:t xml:space="preserve">in particular </w:t>
      </w:r>
      <w:r>
        <w:t>access</w:t>
      </w:r>
      <w:proofErr w:type="gramEnd"/>
      <w:r>
        <w:t xml:space="preserve"> to handwashing in many Pacific countries. This would increase these countries’ ability to contain the spread of COVID-19 </w:t>
      </w:r>
      <w:r w:rsidR="00206727">
        <w:t xml:space="preserve">if it </w:t>
      </w:r>
      <w:r>
        <w:t>arriv</w:t>
      </w:r>
      <w:r w:rsidR="00206727">
        <w:t>es</w:t>
      </w:r>
      <w:r>
        <w:t xml:space="preserve"> when borders are reopened to tourists.</w:t>
      </w:r>
    </w:p>
    <w:p w14:paraId="6B4393CB" w14:textId="49700DCC" w:rsidR="004916CD" w:rsidRDefault="004916CD" w:rsidP="004916CD">
      <w:pPr>
        <w:pStyle w:val="ListParagraph"/>
        <w:numPr>
          <w:ilvl w:val="0"/>
          <w:numId w:val="31"/>
        </w:numPr>
      </w:pPr>
      <w:r>
        <w:t xml:space="preserve">WASH in the home also has a large impact on COVID-19 </w:t>
      </w:r>
      <w:r w:rsidR="007C41DA">
        <w:t xml:space="preserve">risks </w:t>
      </w:r>
      <w:r>
        <w:t xml:space="preserve">in continental South Asia, Pakistan, and Afghanistan, </w:t>
      </w:r>
      <w:r w:rsidR="00206727">
        <w:t>however</w:t>
      </w:r>
      <w:r>
        <w:t xml:space="preserve"> as there are already many cases in these countries it may be too late for this response.</w:t>
      </w:r>
    </w:p>
    <w:p w14:paraId="01DA7C81" w14:textId="77777777" w:rsidR="004916CD" w:rsidRDefault="004916CD" w:rsidP="004916CD">
      <w:r>
        <w:t>Medium term recommendations include:</w:t>
      </w:r>
    </w:p>
    <w:p w14:paraId="782FA07F" w14:textId="7EBCCC13" w:rsidR="008B4D9F" w:rsidRDefault="008B4D9F" w:rsidP="004916CD">
      <w:pPr>
        <w:pStyle w:val="ListParagraph"/>
        <w:numPr>
          <w:ilvl w:val="0"/>
          <w:numId w:val="31"/>
        </w:numPr>
      </w:pPr>
      <w:r>
        <w:lastRenderedPageBreak/>
        <w:t>As a priority action, funders should immediately focus on improving international water related datasets.</w:t>
      </w:r>
    </w:p>
    <w:p w14:paraId="43C7FAD4" w14:textId="3922A346" w:rsidR="004916CD" w:rsidRDefault="00206727" w:rsidP="004916CD">
      <w:pPr>
        <w:pStyle w:val="ListParagraph"/>
        <w:numPr>
          <w:ilvl w:val="0"/>
          <w:numId w:val="31"/>
        </w:numPr>
      </w:pPr>
      <w:r>
        <w:t>Interventions should work</w:t>
      </w:r>
      <w:r w:rsidR="004916CD">
        <w:t xml:space="preserve"> with water utilities </w:t>
      </w:r>
      <w:proofErr w:type="gramStart"/>
      <w:r w:rsidR="004916CD">
        <w:t>in particular in</w:t>
      </w:r>
      <w:proofErr w:type="gramEnd"/>
      <w:r w:rsidR="004916CD">
        <w:t xml:space="preserve"> India, Pakistan, Afghanistan, and throughout the Pacific to ensure they remain viable if government subsidies </w:t>
      </w:r>
      <w:r>
        <w:t>are reduced</w:t>
      </w:r>
      <w:r w:rsidR="004916CD">
        <w:t xml:space="preserve"> due to the crisis.</w:t>
      </w:r>
    </w:p>
    <w:p w14:paraId="2B9A6225" w14:textId="35C34561" w:rsidR="004916CD" w:rsidRDefault="004916CD" w:rsidP="004916CD">
      <w:r>
        <w:t>Longer term recommendations include:</w:t>
      </w:r>
    </w:p>
    <w:p w14:paraId="695FEBC5" w14:textId="318D32BF" w:rsidR="003B6EB6" w:rsidRDefault="00206727" w:rsidP="009D1FC7">
      <w:pPr>
        <w:pStyle w:val="ListParagraph"/>
        <w:numPr>
          <w:ilvl w:val="0"/>
          <w:numId w:val="32"/>
        </w:numPr>
      </w:pPr>
      <w:r>
        <w:t xml:space="preserve">Interventions should work </w:t>
      </w:r>
      <w:r w:rsidR="004916CD">
        <w:t xml:space="preserve">with authorities in countries with poor economic water security </w:t>
      </w:r>
      <w:r>
        <w:t>to</w:t>
      </w:r>
      <w:r w:rsidR="004916CD">
        <w:t xml:space="preserve"> increase the water sectors ability to aid recovery. The index indicates that Afghanistan and India are the two highest priority countries.</w:t>
      </w:r>
    </w:p>
    <w:p w14:paraId="62C92F53" w14:textId="086E6FB2" w:rsidR="0013539C" w:rsidRPr="000C63C0" w:rsidRDefault="0013539C" w:rsidP="0078603E">
      <w:pPr>
        <w:spacing w:after="160"/>
      </w:pPr>
    </w:p>
    <w:sectPr w:rsidR="0013539C" w:rsidRPr="000C63C0" w:rsidSect="005015D1">
      <w:pgSz w:w="11900" w:h="16840"/>
      <w:pgMar w:top="1440" w:right="1440" w:bottom="1440" w:left="1014"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D4CC9" w14:textId="77777777" w:rsidR="00931B6E" w:rsidRPr="00A01C82" w:rsidRDefault="00931B6E" w:rsidP="004F5AFF">
      <w:r w:rsidRPr="00A01C82">
        <w:separator/>
      </w:r>
    </w:p>
  </w:endnote>
  <w:endnote w:type="continuationSeparator" w:id="0">
    <w:p w14:paraId="1FDFBE64" w14:textId="77777777" w:rsidR="00931B6E" w:rsidRPr="00A01C82" w:rsidRDefault="00931B6E" w:rsidP="004F5AFF">
      <w:r w:rsidRPr="00A01C8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Narrow">
    <w:altName w:val="Arial Narrow"/>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Exo 2">
    <w:altName w:val="Calibri"/>
    <w:panose1 w:val="00000500000000000000"/>
    <w:charset w:val="00"/>
    <w:family w:val="modern"/>
    <w:notTrueType/>
    <w:pitch w:val="variable"/>
    <w:sig w:usb0="00000207" w:usb1="00000000" w:usb2="00000000" w:usb3="00000000" w:csb0="00000097" w:csb1="00000000"/>
  </w:font>
  <w:font w:name="Times New Roman (Body CS)">
    <w:charset w:val="00"/>
    <w:family w:val="roman"/>
    <w:pitch w:val="variable"/>
    <w:sig w:usb0="E0002AE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CA9D7" w14:textId="77777777" w:rsidR="00C659E6" w:rsidRDefault="00C65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rPr>
      <w:id w:val="1512573018"/>
      <w:docPartObj>
        <w:docPartGallery w:val="Page Numbers (Bottom of Page)"/>
        <w:docPartUnique/>
      </w:docPartObj>
    </w:sdtPr>
    <w:sdtEndPr/>
    <w:sdtContent>
      <w:p w14:paraId="5E3E32E9" w14:textId="220356AF" w:rsidR="00C659E6" w:rsidRPr="005015D1" w:rsidRDefault="00C659E6" w:rsidP="005015D1">
        <w:pPr>
          <w:ind w:left="-426" w:firstLine="426"/>
          <w:rPr>
            <w:sz w:val="16"/>
          </w:rPr>
        </w:pPr>
        <w:r w:rsidRPr="00A01C82">
          <w:rPr>
            <w:noProof/>
            <w:lang w:eastAsia="en-AU"/>
          </w:rPr>
          <mc:AlternateContent>
            <mc:Choice Requires="wpg">
              <w:drawing>
                <wp:anchor distT="0" distB="0" distL="114300" distR="114300" simplePos="0" relativeHeight="251658240" behindDoc="0" locked="0" layoutInCell="1" allowOverlap="1" wp14:anchorId="751B994E" wp14:editId="6D2937CC">
                  <wp:simplePos x="0" y="0"/>
                  <wp:positionH relativeFrom="page">
                    <wp:posOffset>1448790</wp:posOffset>
                  </wp:positionH>
                  <wp:positionV relativeFrom="bottomMargin">
                    <wp:posOffset>231899</wp:posOffset>
                  </wp:positionV>
                  <wp:extent cx="6172200" cy="295522"/>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95522"/>
                            <a:chOff x="0" y="0"/>
                            <a:chExt cx="6172200" cy="39052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37F070" w14:textId="6D841FE6" w:rsidR="00C659E6" w:rsidRPr="00A01C82" w:rsidRDefault="00C659E6" w:rsidP="004F5AFF"/>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51B994E" id="Group 164" o:spid="_x0000_s1026" style="position:absolute;left:0;text-align:left;margin-left:114.1pt;margin-top:18.25pt;width:486pt;height:23.25pt;z-index:251658240;mso-position-horizontal-relative:page;mso-position-vertical-relative:bottom-margin-area;mso-height-relative:margin" coordsize="61722,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2137F070" w14:textId="6D841FE6" w:rsidR="00C659E6" w:rsidRPr="00A01C82" w:rsidRDefault="00C659E6" w:rsidP="004F5AFF"/>
                      </w:txbxContent>
                    </v:textbox>
                  </v:shape>
                  <w10:wrap anchorx="page" anchory="margin"/>
                </v:group>
              </w:pict>
            </mc:Fallback>
          </mc:AlternateContent>
        </w:r>
        <w:r w:rsidRPr="00A01C82">
          <w:rPr>
            <w:sz w:val="16"/>
          </w:rPr>
          <w:t xml:space="preserve">Page </w:t>
        </w:r>
        <w:r w:rsidRPr="00A01C82">
          <w:rPr>
            <w:sz w:val="16"/>
          </w:rPr>
          <w:fldChar w:fldCharType="begin"/>
        </w:r>
        <w:r w:rsidRPr="00A01C82">
          <w:rPr>
            <w:sz w:val="16"/>
          </w:rPr>
          <w:instrText xml:space="preserve"> PAGE </w:instrText>
        </w:r>
        <w:r w:rsidRPr="00A01C82">
          <w:rPr>
            <w:sz w:val="16"/>
          </w:rPr>
          <w:fldChar w:fldCharType="separate"/>
        </w:r>
        <w:r>
          <w:rPr>
            <w:noProof/>
            <w:sz w:val="16"/>
          </w:rPr>
          <w:t>2</w:t>
        </w:r>
        <w:r w:rsidRPr="00A01C82">
          <w:rPr>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3BED9" w14:textId="77777777" w:rsidR="00C659E6" w:rsidRDefault="00C65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6286D" w14:textId="77777777" w:rsidR="00931B6E" w:rsidRPr="00A01C82" w:rsidRDefault="00931B6E" w:rsidP="004F5AFF">
      <w:r w:rsidRPr="00A01C82">
        <w:separator/>
      </w:r>
    </w:p>
  </w:footnote>
  <w:footnote w:type="continuationSeparator" w:id="0">
    <w:p w14:paraId="0C3ED94D" w14:textId="77777777" w:rsidR="00931B6E" w:rsidRPr="00A01C82" w:rsidRDefault="00931B6E" w:rsidP="004F5AFF">
      <w:r w:rsidRPr="00A01C8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A9E36" w14:textId="77777777" w:rsidR="00C659E6" w:rsidRDefault="00C65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1132E" w14:textId="1D12A1E4" w:rsidR="00C659E6" w:rsidRDefault="00C659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43608" w14:textId="77777777" w:rsidR="00C659E6" w:rsidRDefault="00C65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0770"/>
    <w:multiLevelType w:val="hybridMultilevel"/>
    <w:tmpl w:val="21447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06572"/>
    <w:multiLevelType w:val="hybridMultilevel"/>
    <w:tmpl w:val="1756A8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9E2961"/>
    <w:multiLevelType w:val="hybridMultilevel"/>
    <w:tmpl w:val="3962CA86"/>
    <w:lvl w:ilvl="0" w:tplc="F14EF9FE">
      <w:start w:val="1"/>
      <w:numFmt w:val="bullet"/>
      <w:lvlText w:val="•"/>
      <w:lvlJc w:val="left"/>
      <w:pPr>
        <w:tabs>
          <w:tab w:val="num" w:pos="720"/>
        </w:tabs>
        <w:ind w:left="720" w:hanging="360"/>
      </w:pPr>
      <w:rPr>
        <w:rFonts w:ascii="Times New Roman" w:hAnsi="Times New Roman" w:hint="default"/>
      </w:rPr>
    </w:lvl>
    <w:lvl w:ilvl="1" w:tplc="088E7D70">
      <w:start w:val="1"/>
      <w:numFmt w:val="bullet"/>
      <w:lvlText w:val="•"/>
      <w:lvlJc w:val="left"/>
      <w:pPr>
        <w:tabs>
          <w:tab w:val="num" w:pos="1440"/>
        </w:tabs>
        <w:ind w:left="1440" w:hanging="360"/>
      </w:pPr>
      <w:rPr>
        <w:rFonts w:ascii="Times New Roman" w:hAnsi="Times New Roman" w:hint="default"/>
      </w:rPr>
    </w:lvl>
    <w:lvl w:ilvl="2" w:tplc="9F1A58BC" w:tentative="1">
      <w:start w:val="1"/>
      <w:numFmt w:val="bullet"/>
      <w:lvlText w:val="•"/>
      <w:lvlJc w:val="left"/>
      <w:pPr>
        <w:tabs>
          <w:tab w:val="num" w:pos="2160"/>
        </w:tabs>
        <w:ind w:left="2160" w:hanging="360"/>
      </w:pPr>
      <w:rPr>
        <w:rFonts w:ascii="Times New Roman" w:hAnsi="Times New Roman" w:hint="default"/>
      </w:rPr>
    </w:lvl>
    <w:lvl w:ilvl="3" w:tplc="8F82E5A2" w:tentative="1">
      <w:start w:val="1"/>
      <w:numFmt w:val="bullet"/>
      <w:lvlText w:val="•"/>
      <w:lvlJc w:val="left"/>
      <w:pPr>
        <w:tabs>
          <w:tab w:val="num" w:pos="2880"/>
        </w:tabs>
        <w:ind w:left="2880" w:hanging="360"/>
      </w:pPr>
      <w:rPr>
        <w:rFonts w:ascii="Times New Roman" w:hAnsi="Times New Roman" w:hint="default"/>
      </w:rPr>
    </w:lvl>
    <w:lvl w:ilvl="4" w:tplc="1D64CF76" w:tentative="1">
      <w:start w:val="1"/>
      <w:numFmt w:val="bullet"/>
      <w:lvlText w:val="•"/>
      <w:lvlJc w:val="left"/>
      <w:pPr>
        <w:tabs>
          <w:tab w:val="num" w:pos="3600"/>
        </w:tabs>
        <w:ind w:left="3600" w:hanging="360"/>
      </w:pPr>
      <w:rPr>
        <w:rFonts w:ascii="Times New Roman" w:hAnsi="Times New Roman" w:hint="default"/>
      </w:rPr>
    </w:lvl>
    <w:lvl w:ilvl="5" w:tplc="6014650C" w:tentative="1">
      <w:start w:val="1"/>
      <w:numFmt w:val="bullet"/>
      <w:lvlText w:val="•"/>
      <w:lvlJc w:val="left"/>
      <w:pPr>
        <w:tabs>
          <w:tab w:val="num" w:pos="4320"/>
        </w:tabs>
        <w:ind w:left="4320" w:hanging="360"/>
      </w:pPr>
      <w:rPr>
        <w:rFonts w:ascii="Times New Roman" w:hAnsi="Times New Roman" w:hint="default"/>
      </w:rPr>
    </w:lvl>
    <w:lvl w:ilvl="6" w:tplc="00D67D3C" w:tentative="1">
      <w:start w:val="1"/>
      <w:numFmt w:val="bullet"/>
      <w:lvlText w:val="•"/>
      <w:lvlJc w:val="left"/>
      <w:pPr>
        <w:tabs>
          <w:tab w:val="num" w:pos="5040"/>
        </w:tabs>
        <w:ind w:left="5040" w:hanging="360"/>
      </w:pPr>
      <w:rPr>
        <w:rFonts w:ascii="Times New Roman" w:hAnsi="Times New Roman" w:hint="default"/>
      </w:rPr>
    </w:lvl>
    <w:lvl w:ilvl="7" w:tplc="EBD85DD0" w:tentative="1">
      <w:start w:val="1"/>
      <w:numFmt w:val="bullet"/>
      <w:lvlText w:val="•"/>
      <w:lvlJc w:val="left"/>
      <w:pPr>
        <w:tabs>
          <w:tab w:val="num" w:pos="5760"/>
        </w:tabs>
        <w:ind w:left="5760" w:hanging="360"/>
      </w:pPr>
      <w:rPr>
        <w:rFonts w:ascii="Times New Roman" w:hAnsi="Times New Roman" w:hint="default"/>
      </w:rPr>
    </w:lvl>
    <w:lvl w:ilvl="8" w:tplc="61209B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5E6C6E"/>
    <w:multiLevelType w:val="hybridMultilevel"/>
    <w:tmpl w:val="E1064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759A3"/>
    <w:multiLevelType w:val="hybridMultilevel"/>
    <w:tmpl w:val="FC4208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B61780"/>
    <w:multiLevelType w:val="hybridMultilevel"/>
    <w:tmpl w:val="6FA8FF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3C60AD"/>
    <w:multiLevelType w:val="hybridMultilevel"/>
    <w:tmpl w:val="37C4E0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F495C47"/>
    <w:multiLevelType w:val="hybridMultilevel"/>
    <w:tmpl w:val="02607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013918"/>
    <w:multiLevelType w:val="hybridMultilevel"/>
    <w:tmpl w:val="260CEB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835413"/>
    <w:multiLevelType w:val="hybridMultilevel"/>
    <w:tmpl w:val="59EC0C90"/>
    <w:lvl w:ilvl="0" w:tplc="340C12EC">
      <w:start w:val="1"/>
      <w:numFmt w:val="bullet"/>
      <w:lvlText w:val="•"/>
      <w:lvlJc w:val="left"/>
      <w:pPr>
        <w:tabs>
          <w:tab w:val="num" w:pos="720"/>
        </w:tabs>
        <w:ind w:left="720" w:hanging="360"/>
      </w:pPr>
      <w:rPr>
        <w:rFonts w:ascii="Times New Roman" w:hAnsi="Times New Roman" w:hint="default"/>
      </w:rPr>
    </w:lvl>
    <w:lvl w:ilvl="1" w:tplc="4DD8D21C">
      <w:start w:val="1"/>
      <w:numFmt w:val="bullet"/>
      <w:lvlText w:val="•"/>
      <w:lvlJc w:val="left"/>
      <w:pPr>
        <w:tabs>
          <w:tab w:val="num" w:pos="1440"/>
        </w:tabs>
        <w:ind w:left="1440" w:hanging="360"/>
      </w:pPr>
      <w:rPr>
        <w:rFonts w:ascii="Times New Roman" w:hAnsi="Times New Roman" w:hint="default"/>
      </w:rPr>
    </w:lvl>
    <w:lvl w:ilvl="2" w:tplc="21E0F9D0" w:tentative="1">
      <w:start w:val="1"/>
      <w:numFmt w:val="bullet"/>
      <w:lvlText w:val="•"/>
      <w:lvlJc w:val="left"/>
      <w:pPr>
        <w:tabs>
          <w:tab w:val="num" w:pos="2160"/>
        </w:tabs>
        <w:ind w:left="2160" w:hanging="360"/>
      </w:pPr>
      <w:rPr>
        <w:rFonts w:ascii="Times New Roman" w:hAnsi="Times New Roman" w:hint="default"/>
      </w:rPr>
    </w:lvl>
    <w:lvl w:ilvl="3" w:tplc="6BDC7764" w:tentative="1">
      <w:start w:val="1"/>
      <w:numFmt w:val="bullet"/>
      <w:lvlText w:val="•"/>
      <w:lvlJc w:val="left"/>
      <w:pPr>
        <w:tabs>
          <w:tab w:val="num" w:pos="2880"/>
        </w:tabs>
        <w:ind w:left="2880" w:hanging="360"/>
      </w:pPr>
      <w:rPr>
        <w:rFonts w:ascii="Times New Roman" w:hAnsi="Times New Roman" w:hint="default"/>
      </w:rPr>
    </w:lvl>
    <w:lvl w:ilvl="4" w:tplc="BB24F886" w:tentative="1">
      <w:start w:val="1"/>
      <w:numFmt w:val="bullet"/>
      <w:lvlText w:val="•"/>
      <w:lvlJc w:val="left"/>
      <w:pPr>
        <w:tabs>
          <w:tab w:val="num" w:pos="3600"/>
        </w:tabs>
        <w:ind w:left="3600" w:hanging="360"/>
      </w:pPr>
      <w:rPr>
        <w:rFonts w:ascii="Times New Roman" w:hAnsi="Times New Roman" w:hint="default"/>
      </w:rPr>
    </w:lvl>
    <w:lvl w:ilvl="5" w:tplc="C4FC8962" w:tentative="1">
      <w:start w:val="1"/>
      <w:numFmt w:val="bullet"/>
      <w:lvlText w:val="•"/>
      <w:lvlJc w:val="left"/>
      <w:pPr>
        <w:tabs>
          <w:tab w:val="num" w:pos="4320"/>
        </w:tabs>
        <w:ind w:left="4320" w:hanging="360"/>
      </w:pPr>
      <w:rPr>
        <w:rFonts w:ascii="Times New Roman" w:hAnsi="Times New Roman" w:hint="default"/>
      </w:rPr>
    </w:lvl>
    <w:lvl w:ilvl="6" w:tplc="03EE1B84" w:tentative="1">
      <w:start w:val="1"/>
      <w:numFmt w:val="bullet"/>
      <w:lvlText w:val="•"/>
      <w:lvlJc w:val="left"/>
      <w:pPr>
        <w:tabs>
          <w:tab w:val="num" w:pos="5040"/>
        </w:tabs>
        <w:ind w:left="5040" w:hanging="360"/>
      </w:pPr>
      <w:rPr>
        <w:rFonts w:ascii="Times New Roman" w:hAnsi="Times New Roman" w:hint="default"/>
      </w:rPr>
    </w:lvl>
    <w:lvl w:ilvl="7" w:tplc="E6DE68C6" w:tentative="1">
      <w:start w:val="1"/>
      <w:numFmt w:val="bullet"/>
      <w:lvlText w:val="•"/>
      <w:lvlJc w:val="left"/>
      <w:pPr>
        <w:tabs>
          <w:tab w:val="num" w:pos="5760"/>
        </w:tabs>
        <w:ind w:left="5760" w:hanging="360"/>
      </w:pPr>
      <w:rPr>
        <w:rFonts w:ascii="Times New Roman" w:hAnsi="Times New Roman" w:hint="default"/>
      </w:rPr>
    </w:lvl>
    <w:lvl w:ilvl="8" w:tplc="E1F40BA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21057E"/>
    <w:multiLevelType w:val="hybridMultilevel"/>
    <w:tmpl w:val="A1D861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9149E2"/>
    <w:multiLevelType w:val="hybridMultilevel"/>
    <w:tmpl w:val="5D3A167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2" w15:restartNumberingAfterBreak="0">
    <w:nsid w:val="3BB835D9"/>
    <w:multiLevelType w:val="hybridMultilevel"/>
    <w:tmpl w:val="0CAC6D4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32776F9"/>
    <w:multiLevelType w:val="hybridMultilevel"/>
    <w:tmpl w:val="081C9D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71084E"/>
    <w:multiLevelType w:val="hybridMultilevel"/>
    <w:tmpl w:val="A00674BC"/>
    <w:lvl w:ilvl="0" w:tplc="EFD0A3D8">
      <w:start w:val="1"/>
      <w:numFmt w:val="bullet"/>
      <w:lvlText w:val="•"/>
      <w:lvlJc w:val="left"/>
      <w:pPr>
        <w:tabs>
          <w:tab w:val="num" w:pos="720"/>
        </w:tabs>
        <w:ind w:left="720" w:hanging="360"/>
      </w:pPr>
      <w:rPr>
        <w:rFonts w:ascii="Times New Roman" w:hAnsi="Times New Roman" w:hint="default"/>
      </w:rPr>
    </w:lvl>
    <w:lvl w:ilvl="1" w:tplc="22687428">
      <w:start w:val="1"/>
      <w:numFmt w:val="bullet"/>
      <w:lvlText w:val="•"/>
      <w:lvlJc w:val="left"/>
      <w:pPr>
        <w:tabs>
          <w:tab w:val="num" w:pos="1440"/>
        </w:tabs>
        <w:ind w:left="1440" w:hanging="360"/>
      </w:pPr>
      <w:rPr>
        <w:rFonts w:ascii="Times New Roman" w:hAnsi="Times New Roman" w:hint="default"/>
      </w:rPr>
    </w:lvl>
    <w:lvl w:ilvl="2" w:tplc="9EC0CE46" w:tentative="1">
      <w:start w:val="1"/>
      <w:numFmt w:val="bullet"/>
      <w:lvlText w:val="•"/>
      <w:lvlJc w:val="left"/>
      <w:pPr>
        <w:tabs>
          <w:tab w:val="num" w:pos="2160"/>
        </w:tabs>
        <w:ind w:left="2160" w:hanging="360"/>
      </w:pPr>
      <w:rPr>
        <w:rFonts w:ascii="Times New Roman" w:hAnsi="Times New Roman" w:hint="default"/>
      </w:rPr>
    </w:lvl>
    <w:lvl w:ilvl="3" w:tplc="057E02AC" w:tentative="1">
      <w:start w:val="1"/>
      <w:numFmt w:val="bullet"/>
      <w:lvlText w:val="•"/>
      <w:lvlJc w:val="left"/>
      <w:pPr>
        <w:tabs>
          <w:tab w:val="num" w:pos="2880"/>
        </w:tabs>
        <w:ind w:left="2880" w:hanging="360"/>
      </w:pPr>
      <w:rPr>
        <w:rFonts w:ascii="Times New Roman" w:hAnsi="Times New Roman" w:hint="default"/>
      </w:rPr>
    </w:lvl>
    <w:lvl w:ilvl="4" w:tplc="E994971C" w:tentative="1">
      <w:start w:val="1"/>
      <w:numFmt w:val="bullet"/>
      <w:lvlText w:val="•"/>
      <w:lvlJc w:val="left"/>
      <w:pPr>
        <w:tabs>
          <w:tab w:val="num" w:pos="3600"/>
        </w:tabs>
        <w:ind w:left="3600" w:hanging="360"/>
      </w:pPr>
      <w:rPr>
        <w:rFonts w:ascii="Times New Roman" w:hAnsi="Times New Roman" w:hint="default"/>
      </w:rPr>
    </w:lvl>
    <w:lvl w:ilvl="5" w:tplc="778CB9DE" w:tentative="1">
      <w:start w:val="1"/>
      <w:numFmt w:val="bullet"/>
      <w:lvlText w:val="•"/>
      <w:lvlJc w:val="left"/>
      <w:pPr>
        <w:tabs>
          <w:tab w:val="num" w:pos="4320"/>
        </w:tabs>
        <w:ind w:left="4320" w:hanging="360"/>
      </w:pPr>
      <w:rPr>
        <w:rFonts w:ascii="Times New Roman" w:hAnsi="Times New Roman" w:hint="default"/>
      </w:rPr>
    </w:lvl>
    <w:lvl w:ilvl="6" w:tplc="34203CC6" w:tentative="1">
      <w:start w:val="1"/>
      <w:numFmt w:val="bullet"/>
      <w:lvlText w:val="•"/>
      <w:lvlJc w:val="left"/>
      <w:pPr>
        <w:tabs>
          <w:tab w:val="num" w:pos="5040"/>
        </w:tabs>
        <w:ind w:left="5040" w:hanging="360"/>
      </w:pPr>
      <w:rPr>
        <w:rFonts w:ascii="Times New Roman" w:hAnsi="Times New Roman" w:hint="default"/>
      </w:rPr>
    </w:lvl>
    <w:lvl w:ilvl="7" w:tplc="DF206BCC" w:tentative="1">
      <w:start w:val="1"/>
      <w:numFmt w:val="bullet"/>
      <w:lvlText w:val="•"/>
      <w:lvlJc w:val="left"/>
      <w:pPr>
        <w:tabs>
          <w:tab w:val="num" w:pos="5760"/>
        </w:tabs>
        <w:ind w:left="5760" w:hanging="360"/>
      </w:pPr>
      <w:rPr>
        <w:rFonts w:ascii="Times New Roman" w:hAnsi="Times New Roman" w:hint="default"/>
      </w:rPr>
    </w:lvl>
    <w:lvl w:ilvl="8" w:tplc="FEA2203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4CC7F51"/>
    <w:multiLevelType w:val="hybridMultilevel"/>
    <w:tmpl w:val="499AE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162758"/>
    <w:multiLevelType w:val="hybridMultilevel"/>
    <w:tmpl w:val="AC941E8A"/>
    <w:lvl w:ilvl="0" w:tplc="DB6E9DCE">
      <w:start w:val="1"/>
      <w:numFmt w:val="decimal"/>
      <w:lvlText w:val="%1."/>
      <w:lvlJc w:val="left"/>
      <w:pPr>
        <w:ind w:left="36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EA0032"/>
    <w:multiLevelType w:val="hybridMultilevel"/>
    <w:tmpl w:val="49F6CC9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4A460AF"/>
    <w:multiLevelType w:val="hybridMultilevel"/>
    <w:tmpl w:val="C99E3BC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9183C86"/>
    <w:multiLevelType w:val="hybridMultilevel"/>
    <w:tmpl w:val="5E185B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EE1EF6"/>
    <w:multiLevelType w:val="hybridMultilevel"/>
    <w:tmpl w:val="0204B7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2774441"/>
    <w:multiLevelType w:val="hybridMultilevel"/>
    <w:tmpl w:val="84D2EB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B849A2"/>
    <w:multiLevelType w:val="hybridMultilevel"/>
    <w:tmpl w:val="0D8AE59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52F0467"/>
    <w:multiLevelType w:val="hybridMultilevel"/>
    <w:tmpl w:val="6EF42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C02225"/>
    <w:multiLevelType w:val="hybridMultilevel"/>
    <w:tmpl w:val="CBC023FE"/>
    <w:lvl w:ilvl="0" w:tplc="BD68EA7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7C3525"/>
    <w:multiLevelType w:val="hybridMultilevel"/>
    <w:tmpl w:val="FDF8A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E3268C"/>
    <w:multiLevelType w:val="hybridMultilevel"/>
    <w:tmpl w:val="6CC438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735A99"/>
    <w:multiLevelType w:val="hybridMultilevel"/>
    <w:tmpl w:val="F732CEA2"/>
    <w:lvl w:ilvl="0" w:tplc="3132A1A2">
      <w:numFmt w:val="bullet"/>
      <w:lvlText w:val="-"/>
      <w:lvlJc w:val="left"/>
      <w:pPr>
        <w:tabs>
          <w:tab w:val="num" w:pos="720"/>
        </w:tabs>
        <w:ind w:left="720" w:hanging="360"/>
      </w:pPr>
      <w:rPr>
        <w:rFonts w:ascii="Times New Roman" w:eastAsia="Times New Roman" w:hAnsi="Times New Roman" w:cs="Times New Roman" w:hint="default"/>
      </w:rPr>
    </w:lvl>
    <w:lvl w:ilvl="1" w:tplc="E87A506C">
      <w:start w:val="1"/>
      <w:numFmt w:val="bullet"/>
      <w:lvlText w:val="-"/>
      <w:lvlJc w:val="left"/>
      <w:pPr>
        <w:tabs>
          <w:tab w:val="num" w:pos="1440"/>
        </w:tabs>
        <w:ind w:left="1440" w:hanging="360"/>
      </w:pPr>
      <w:rPr>
        <w:rFonts w:ascii="Helvetica Narrow" w:eastAsia="Times New Roman" w:hAnsi="Helvetica Narrow"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7722A1"/>
    <w:multiLevelType w:val="hybridMultilevel"/>
    <w:tmpl w:val="517A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2B25A4"/>
    <w:multiLevelType w:val="hybridMultilevel"/>
    <w:tmpl w:val="89D2BA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AE45200"/>
    <w:multiLevelType w:val="hybridMultilevel"/>
    <w:tmpl w:val="0BA8AF06"/>
    <w:lvl w:ilvl="0" w:tplc="4D4CE738">
      <w:numFmt w:val="bullet"/>
      <w:lvlText w:val="-"/>
      <w:lvlJc w:val="left"/>
      <w:pPr>
        <w:ind w:left="398" w:hanging="360"/>
      </w:pPr>
      <w:rPr>
        <w:rFonts w:ascii="Calibri" w:eastAsiaTheme="minorEastAsia" w:hAnsi="Calibri" w:cs="Calibri" w:hint="default"/>
        <w:color w:val="000000" w:themeColor="text1"/>
      </w:rPr>
    </w:lvl>
    <w:lvl w:ilvl="1" w:tplc="0C090003" w:tentative="1">
      <w:start w:val="1"/>
      <w:numFmt w:val="bullet"/>
      <w:lvlText w:val="o"/>
      <w:lvlJc w:val="left"/>
      <w:pPr>
        <w:ind w:left="1118" w:hanging="360"/>
      </w:pPr>
      <w:rPr>
        <w:rFonts w:ascii="Courier New" w:hAnsi="Courier New" w:cs="Courier New" w:hint="default"/>
      </w:rPr>
    </w:lvl>
    <w:lvl w:ilvl="2" w:tplc="0C090005" w:tentative="1">
      <w:start w:val="1"/>
      <w:numFmt w:val="bullet"/>
      <w:lvlText w:val=""/>
      <w:lvlJc w:val="left"/>
      <w:pPr>
        <w:ind w:left="1838" w:hanging="360"/>
      </w:pPr>
      <w:rPr>
        <w:rFonts w:ascii="Wingdings" w:hAnsi="Wingdings" w:cs="Wingdings" w:hint="default"/>
      </w:rPr>
    </w:lvl>
    <w:lvl w:ilvl="3" w:tplc="0C090001" w:tentative="1">
      <w:start w:val="1"/>
      <w:numFmt w:val="bullet"/>
      <w:lvlText w:val=""/>
      <w:lvlJc w:val="left"/>
      <w:pPr>
        <w:ind w:left="2558" w:hanging="360"/>
      </w:pPr>
      <w:rPr>
        <w:rFonts w:ascii="Symbol" w:hAnsi="Symbol" w:cs="Symbol" w:hint="default"/>
      </w:rPr>
    </w:lvl>
    <w:lvl w:ilvl="4" w:tplc="0C090003" w:tentative="1">
      <w:start w:val="1"/>
      <w:numFmt w:val="bullet"/>
      <w:lvlText w:val="o"/>
      <w:lvlJc w:val="left"/>
      <w:pPr>
        <w:ind w:left="3278" w:hanging="360"/>
      </w:pPr>
      <w:rPr>
        <w:rFonts w:ascii="Courier New" w:hAnsi="Courier New" w:cs="Courier New" w:hint="default"/>
      </w:rPr>
    </w:lvl>
    <w:lvl w:ilvl="5" w:tplc="0C090005" w:tentative="1">
      <w:start w:val="1"/>
      <w:numFmt w:val="bullet"/>
      <w:lvlText w:val=""/>
      <w:lvlJc w:val="left"/>
      <w:pPr>
        <w:ind w:left="3998" w:hanging="360"/>
      </w:pPr>
      <w:rPr>
        <w:rFonts w:ascii="Wingdings" w:hAnsi="Wingdings" w:cs="Wingdings" w:hint="default"/>
      </w:rPr>
    </w:lvl>
    <w:lvl w:ilvl="6" w:tplc="0C090001" w:tentative="1">
      <w:start w:val="1"/>
      <w:numFmt w:val="bullet"/>
      <w:lvlText w:val=""/>
      <w:lvlJc w:val="left"/>
      <w:pPr>
        <w:ind w:left="4718" w:hanging="360"/>
      </w:pPr>
      <w:rPr>
        <w:rFonts w:ascii="Symbol" w:hAnsi="Symbol" w:cs="Symbol" w:hint="default"/>
      </w:rPr>
    </w:lvl>
    <w:lvl w:ilvl="7" w:tplc="0C090003" w:tentative="1">
      <w:start w:val="1"/>
      <w:numFmt w:val="bullet"/>
      <w:lvlText w:val="o"/>
      <w:lvlJc w:val="left"/>
      <w:pPr>
        <w:ind w:left="5438" w:hanging="360"/>
      </w:pPr>
      <w:rPr>
        <w:rFonts w:ascii="Courier New" w:hAnsi="Courier New" w:cs="Courier New" w:hint="default"/>
      </w:rPr>
    </w:lvl>
    <w:lvl w:ilvl="8" w:tplc="0C090005" w:tentative="1">
      <w:start w:val="1"/>
      <w:numFmt w:val="bullet"/>
      <w:lvlText w:val=""/>
      <w:lvlJc w:val="left"/>
      <w:pPr>
        <w:ind w:left="6158" w:hanging="360"/>
      </w:pPr>
      <w:rPr>
        <w:rFonts w:ascii="Wingdings" w:hAnsi="Wingdings" w:cs="Wingdings" w:hint="default"/>
      </w:rPr>
    </w:lvl>
  </w:abstractNum>
  <w:abstractNum w:abstractNumId="31" w15:restartNumberingAfterBreak="0">
    <w:nsid w:val="7CAF1BBA"/>
    <w:multiLevelType w:val="hybridMultilevel"/>
    <w:tmpl w:val="FAECB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307B30"/>
    <w:multiLevelType w:val="hybridMultilevel"/>
    <w:tmpl w:val="81FE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7"/>
  </w:num>
  <w:num w:numId="4">
    <w:abstractNumId w:val="11"/>
  </w:num>
  <w:num w:numId="5">
    <w:abstractNumId w:val="32"/>
  </w:num>
  <w:num w:numId="6">
    <w:abstractNumId w:val="24"/>
  </w:num>
  <w:num w:numId="7">
    <w:abstractNumId w:val="18"/>
  </w:num>
  <w:num w:numId="8">
    <w:abstractNumId w:val="17"/>
  </w:num>
  <w:num w:numId="9">
    <w:abstractNumId w:val="22"/>
  </w:num>
  <w:num w:numId="10">
    <w:abstractNumId w:val="29"/>
  </w:num>
  <w:num w:numId="11">
    <w:abstractNumId w:val="12"/>
  </w:num>
  <w:num w:numId="12">
    <w:abstractNumId w:val="2"/>
  </w:num>
  <w:num w:numId="13">
    <w:abstractNumId w:val="9"/>
  </w:num>
  <w:num w:numId="14">
    <w:abstractNumId w:val="14"/>
  </w:num>
  <w:num w:numId="15">
    <w:abstractNumId w:val="30"/>
  </w:num>
  <w:num w:numId="16">
    <w:abstractNumId w:val="5"/>
  </w:num>
  <w:num w:numId="17">
    <w:abstractNumId w:val="21"/>
  </w:num>
  <w:num w:numId="18">
    <w:abstractNumId w:val="0"/>
  </w:num>
  <w:num w:numId="19">
    <w:abstractNumId w:val="1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
  </w:num>
  <w:num w:numId="24">
    <w:abstractNumId w:val="10"/>
  </w:num>
  <w:num w:numId="25">
    <w:abstractNumId w:val="13"/>
  </w:num>
  <w:num w:numId="26">
    <w:abstractNumId w:val="1"/>
  </w:num>
  <w:num w:numId="27">
    <w:abstractNumId w:val="8"/>
  </w:num>
  <w:num w:numId="28">
    <w:abstractNumId w:val="25"/>
  </w:num>
  <w:num w:numId="29">
    <w:abstractNumId w:val="3"/>
  </w:num>
  <w:num w:numId="30">
    <w:abstractNumId w:val="23"/>
  </w:num>
  <w:num w:numId="31">
    <w:abstractNumId w:val="31"/>
  </w:num>
  <w:num w:numId="32">
    <w:abstractNumId w:val="7"/>
  </w:num>
  <w:num w:numId="3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2sDCxMDMCYjMTMyUdpeDU4uLM/DyQAsNaAAahw3IsAAAA"/>
  </w:docVars>
  <w:rsids>
    <w:rsidRoot w:val="00690815"/>
    <w:rsid w:val="000015D3"/>
    <w:rsid w:val="00001F8C"/>
    <w:rsid w:val="00003B4F"/>
    <w:rsid w:val="00004351"/>
    <w:rsid w:val="00005F54"/>
    <w:rsid w:val="0000615C"/>
    <w:rsid w:val="00011708"/>
    <w:rsid w:val="00012446"/>
    <w:rsid w:val="00017DAA"/>
    <w:rsid w:val="0002527E"/>
    <w:rsid w:val="000258AC"/>
    <w:rsid w:val="0003156A"/>
    <w:rsid w:val="000455C3"/>
    <w:rsid w:val="000476C9"/>
    <w:rsid w:val="000502B6"/>
    <w:rsid w:val="0005517D"/>
    <w:rsid w:val="000556C0"/>
    <w:rsid w:val="0006034B"/>
    <w:rsid w:val="000607B9"/>
    <w:rsid w:val="0006253D"/>
    <w:rsid w:val="0007238F"/>
    <w:rsid w:val="00073B82"/>
    <w:rsid w:val="00074260"/>
    <w:rsid w:val="0007656F"/>
    <w:rsid w:val="000817A0"/>
    <w:rsid w:val="000928CB"/>
    <w:rsid w:val="000955E7"/>
    <w:rsid w:val="00096FDD"/>
    <w:rsid w:val="000A1FFB"/>
    <w:rsid w:val="000A5814"/>
    <w:rsid w:val="000A7B49"/>
    <w:rsid w:val="000B131B"/>
    <w:rsid w:val="000C63C0"/>
    <w:rsid w:val="000C7000"/>
    <w:rsid w:val="000C7047"/>
    <w:rsid w:val="000D1964"/>
    <w:rsid w:val="000D36FA"/>
    <w:rsid w:val="000E0DFA"/>
    <w:rsid w:val="000E1643"/>
    <w:rsid w:val="000E48EE"/>
    <w:rsid w:val="000F3634"/>
    <w:rsid w:val="000F5CE3"/>
    <w:rsid w:val="00100D7D"/>
    <w:rsid w:val="00101FC5"/>
    <w:rsid w:val="00110320"/>
    <w:rsid w:val="001105CF"/>
    <w:rsid w:val="0011271C"/>
    <w:rsid w:val="00115EE0"/>
    <w:rsid w:val="00117333"/>
    <w:rsid w:val="0012237B"/>
    <w:rsid w:val="00125984"/>
    <w:rsid w:val="001326AC"/>
    <w:rsid w:val="0013539C"/>
    <w:rsid w:val="0013633F"/>
    <w:rsid w:val="00137583"/>
    <w:rsid w:val="001417BC"/>
    <w:rsid w:val="00143326"/>
    <w:rsid w:val="001440FD"/>
    <w:rsid w:val="00147343"/>
    <w:rsid w:val="00147EDF"/>
    <w:rsid w:val="00151863"/>
    <w:rsid w:val="00151F1C"/>
    <w:rsid w:val="00157E94"/>
    <w:rsid w:val="00166738"/>
    <w:rsid w:val="00170F8D"/>
    <w:rsid w:val="00175034"/>
    <w:rsid w:val="00183233"/>
    <w:rsid w:val="00184800"/>
    <w:rsid w:val="00186DFD"/>
    <w:rsid w:val="00192F75"/>
    <w:rsid w:val="00193020"/>
    <w:rsid w:val="00193DC4"/>
    <w:rsid w:val="00194B9F"/>
    <w:rsid w:val="001A06FE"/>
    <w:rsid w:val="001A1094"/>
    <w:rsid w:val="001A3EF0"/>
    <w:rsid w:val="001A5DB2"/>
    <w:rsid w:val="001A6FC3"/>
    <w:rsid w:val="001B4ABB"/>
    <w:rsid w:val="001B4D6F"/>
    <w:rsid w:val="001B600C"/>
    <w:rsid w:val="001B7A42"/>
    <w:rsid w:val="001C196A"/>
    <w:rsid w:val="001E58C1"/>
    <w:rsid w:val="001E7E06"/>
    <w:rsid w:val="001F544E"/>
    <w:rsid w:val="001F54C1"/>
    <w:rsid w:val="00201F4C"/>
    <w:rsid w:val="00202F5E"/>
    <w:rsid w:val="0020425F"/>
    <w:rsid w:val="00206727"/>
    <w:rsid w:val="0021418C"/>
    <w:rsid w:val="0022450C"/>
    <w:rsid w:val="00226990"/>
    <w:rsid w:val="002276EA"/>
    <w:rsid w:val="00231792"/>
    <w:rsid w:val="0024213B"/>
    <w:rsid w:val="002443B8"/>
    <w:rsid w:val="002641A1"/>
    <w:rsid w:val="002661F5"/>
    <w:rsid w:val="0026629D"/>
    <w:rsid w:val="00272C02"/>
    <w:rsid w:val="00274B87"/>
    <w:rsid w:val="00277859"/>
    <w:rsid w:val="00281D00"/>
    <w:rsid w:val="002849F4"/>
    <w:rsid w:val="00286191"/>
    <w:rsid w:val="00286923"/>
    <w:rsid w:val="00287E1F"/>
    <w:rsid w:val="002905FD"/>
    <w:rsid w:val="002911C0"/>
    <w:rsid w:val="002A15F0"/>
    <w:rsid w:val="002B5715"/>
    <w:rsid w:val="002C36FB"/>
    <w:rsid w:val="002C5AB2"/>
    <w:rsid w:val="002C5C30"/>
    <w:rsid w:val="002C7507"/>
    <w:rsid w:val="002D6A18"/>
    <w:rsid w:val="002E68B6"/>
    <w:rsid w:val="002E6D84"/>
    <w:rsid w:val="002F28CB"/>
    <w:rsid w:val="002F3222"/>
    <w:rsid w:val="002F3329"/>
    <w:rsid w:val="002F48CF"/>
    <w:rsid w:val="003032B5"/>
    <w:rsid w:val="00314157"/>
    <w:rsid w:val="00320378"/>
    <w:rsid w:val="00321448"/>
    <w:rsid w:val="0032420A"/>
    <w:rsid w:val="00326BCA"/>
    <w:rsid w:val="00331E9D"/>
    <w:rsid w:val="003373D3"/>
    <w:rsid w:val="00341EED"/>
    <w:rsid w:val="00342862"/>
    <w:rsid w:val="00342BE8"/>
    <w:rsid w:val="003506F0"/>
    <w:rsid w:val="00355EFF"/>
    <w:rsid w:val="0036491A"/>
    <w:rsid w:val="00364F8B"/>
    <w:rsid w:val="00370620"/>
    <w:rsid w:val="00377AFB"/>
    <w:rsid w:val="0038485C"/>
    <w:rsid w:val="003A2EDA"/>
    <w:rsid w:val="003A324D"/>
    <w:rsid w:val="003A36E8"/>
    <w:rsid w:val="003B1D7B"/>
    <w:rsid w:val="003B6EB6"/>
    <w:rsid w:val="003C4051"/>
    <w:rsid w:val="003D143D"/>
    <w:rsid w:val="003D4FDB"/>
    <w:rsid w:val="003E0C57"/>
    <w:rsid w:val="003E1AED"/>
    <w:rsid w:val="003F1AB1"/>
    <w:rsid w:val="00401027"/>
    <w:rsid w:val="00403607"/>
    <w:rsid w:val="00412013"/>
    <w:rsid w:val="00413BFE"/>
    <w:rsid w:val="00417D1D"/>
    <w:rsid w:val="00421A67"/>
    <w:rsid w:val="00430300"/>
    <w:rsid w:val="0043741A"/>
    <w:rsid w:val="0043776A"/>
    <w:rsid w:val="00453014"/>
    <w:rsid w:val="00464153"/>
    <w:rsid w:val="00475AFF"/>
    <w:rsid w:val="00481A68"/>
    <w:rsid w:val="00484B99"/>
    <w:rsid w:val="004916CD"/>
    <w:rsid w:val="00493FF3"/>
    <w:rsid w:val="004970CC"/>
    <w:rsid w:val="004A3AFF"/>
    <w:rsid w:val="004A4C46"/>
    <w:rsid w:val="004A65A0"/>
    <w:rsid w:val="004A6FED"/>
    <w:rsid w:val="004B5E4F"/>
    <w:rsid w:val="004C20CD"/>
    <w:rsid w:val="004C5016"/>
    <w:rsid w:val="004D0271"/>
    <w:rsid w:val="004D2087"/>
    <w:rsid w:val="004D2538"/>
    <w:rsid w:val="004E0F91"/>
    <w:rsid w:val="004E1591"/>
    <w:rsid w:val="004E1B12"/>
    <w:rsid w:val="004E3EE4"/>
    <w:rsid w:val="004F3EC3"/>
    <w:rsid w:val="004F5AFF"/>
    <w:rsid w:val="005015D1"/>
    <w:rsid w:val="00506107"/>
    <w:rsid w:val="00511E17"/>
    <w:rsid w:val="0051401F"/>
    <w:rsid w:val="00514F16"/>
    <w:rsid w:val="00515165"/>
    <w:rsid w:val="0053442C"/>
    <w:rsid w:val="00546263"/>
    <w:rsid w:val="00546BA6"/>
    <w:rsid w:val="00552F4B"/>
    <w:rsid w:val="00561681"/>
    <w:rsid w:val="00570309"/>
    <w:rsid w:val="00570884"/>
    <w:rsid w:val="005754BA"/>
    <w:rsid w:val="00576E62"/>
    <w:rsid w:val="0058185B"/>
    <w:rsid w:val="0058287A"/>
    <w:rsid w:val="00586D6A"/>
    <w:rsid w:val="00595551"/>
    <w:rsid w:val="005A03EC"/>
    <w:rsid w:val="005A0B9D"/>
    <w:rsid w:val="005A0D6D"/>
    <w:rsid w:val="005A3B6E"/>
    <w:rsid w:val="005A4B9B"/>
    <w:rsid w:val="005A70A6"/>
    <w:rsid w:val="005C52A2"/>
    <w:rsid w:val="005C7EF8"/>
    <w:rsid w:val="005D53FD"/>
    <w:rsid w:val="005D7D61"/>
    <w:rsid w:val="005E2620"/>
    <w:rsid w:val="005F4A6F"/>
    <w:rsid w:val="00601074"/>
    <w:rsid w:val="00607EC1"/>
    <w:rsid w:val="00615573"/>
    <w:rsid w:val="006172B9"/>
    <w:rsid w:val="00637829"/>
    <w:rsid w:val="00642E69"/>
    <w:rsid w:val="006472C5"/>
    <w:rsid w:val="00650589"/>
    <w:rsid w:val="0065168D"/>
    <w:rsid w:val="00652D29"/>
    <w:rsid w:val="00654C8F"/>
    <w:rsid w:val="00667FBA"/>
    <w:rsid w:val="0067230C"/>
    <w:rsid w:val="006801BC"/>
    <w:rsid w:val="006812E2"/>
    <w:rsid w:val="00681F62"/>
    <w:rsid w:val="0068493F"/>
    <w:rsid w:val="00684D06"/>
    <w:rsid w:val="00690661"/>
    <w:rsid w:val="00690815"/>
    <w:rsid w:val="00691CE0"/>
    <w:rsid w:val="00694FFF"/>
    <w:rsid w:val="00697F04"/>
    <w:rsid w:val="006A5928"/>
    <w:rsid w:val="006A5D0D"/>
    <w:rsid w:val="006A60B3"/>
    <w:rsid w:val="006C6289"/>
    <w:rsid w:val="006D5201"/>
    <w:rsid w:val="006E3C65"/>
    <w:rsid w:val="006E425A"/>
    <w:rsid w:val="006F2EE4"/>
    <w:rsid w:val="006F51BF"/>
    <w:rsid w:val="006F73E1"/>
    <w:rsid w:val="00714472"/>
    <w:rsid w:val="0072089E"/>
    <w:rsid w:val="007351F7"/>
    <w:rsid w:val="00744EA5"/>
    <w:rsid w:val="00745372"/>
    <w:rsid w:val="007503A8"/>
    <w:rsid w:val="00750586"/>
    <w:rsid w:val="007636D2"/>
    <w:rsid w:val="00764C13"/>
    <w:rsid w:val="007732B5"/>
    <w:rsid w:val="00775085"/>
    <w:rsid w:val="0077553F"/>
    <w:rsid w:val="00781F4F"/>
    <w:rsid w:val="00783233"/>
    <w:rsid w:val="0078603E"/>
    <w:rsid w:val="00786C85"/>
    <w:rsid w:val="00787B6A"/>
    <w:rsid w:val="007A740A"/>
    <w:rsid w:val="007B09DD"/>
    <w:rsid w:val="007B71C6"/>
    <w:rsid w:val="007B79FC"/>
    <w:rsid w:val="007C2367"/>
    <w:rsid w:val="007C3BC6"/>
    <w:rsid w:val="007C41DA"/>
    <w:rsid w:val="007C4ADD"/>
    <w:rsid w:val="007D254F"/>
    <w:rsid w:val="00802C27"/>
    <w:rsid w:val="00802FA1"/>
    <w:rsid w:val="00803C04"/>
    <w:rsid w:val="008225F5"/>
    <w:rsid w:val="00824025"/>
    <w:rsid w:val="0084080D"/>
    <w:rsid w:val="00842446"/>
    <w:rsid w:val="00847227"/>
    <w:rsid w:val="00856C21"/>
    <w:rsid w:val="008605A8"/>
    <w:rsid w:val="0086347B"/>
    <w:rsid w:val="008650E9"/>
    <w:rsid w:val="00870F8B"/>
    <w:rsid w:val="00871EB1"/>
    <w:rsid w:val="008732A2"/>
    <w:rsid w:val="0087752E"/>
    <w:rsid w:val="00883220"/>
    <w:rsid w:val="00883473"/>
    <w:rsid w:val="008902FE"/>
    <w:rsid w:val="00890B9E"/>
    <w:rsid w:val="008935F1"/>
    <w:rsid w:val="008941DB"/>
    <w:rsid w:val="00894912"/>
    <w:rsid w:val="00894B24"/>
    <w:rsid w:val="00897C11"/>
    <w:rsid w:val="008A2212"/>
    <w:rsid w:val="008B0835"/>
    <w:rsid w:val="008B2797"/>
    <w:rsid w:val="008B2A61"/>
    <w:rsid w:val="008B4D9F"/>
    <w:rsid w:val="008B5D64"/>
    <w:rsid w:val="008B6986"/>
    <w:rsid w:val="008B6CDD"/>
    <w:rsid w:val="008D23EB"/>
    <w:rsid w:val="008D311A"/>
    <w:rsid w:val="008D70B2"/>
    <w:rsid w:val="008E1CE9"/>
    <w:rsid w:val="008E7187"/>
    <w:rsid w:val="008E73F9"/>
    <w:rsid w:val="008F5949"/>
    <w:rsid w:val="008F6295"/>
    <w:rsid w:val="00901042"/>
    <w:rsid w:val="00902530"/>
    <w:rsid w:val="00903172"/>
    <w:rsid w:val="009033F3"/>
    <w:rsid w:val="009052F1"/>
    <w:rsid w:val="00912BAE"/>
    <w:rsid w:val="0091539C"/>
    <w:rsid w:val="00915912"/>
    <w:rsid w:val="009169DA"/>
    <w:rsid w:val="0092344A"/>
    <w:rsid w:val="0092612B"/>
    <w:rsid w:val="0093134F"/>
    <w:rsid w:val="00931B6E"/>
    <w:rsid w:val="00933FF8"/>
    <w:rsid w:val="009361C4"/>
    <w:rsid w:val="009412CA"/>
    <w:rsid w:val="0094271B"/>
    <w:rsid w:val="00945358"/>
    <w:rsid w:val="0095244A"/>
    <w:rsid w:val="00955D7F"/>
    <w:rsid w:val="009639DA"/>
    <w:rsid w:val="00980788"/>
    <w:rsid w:val="00982ABC"/>
    <w:rsid w:val="009948E9"/>
    <w:rsid w:val="009A41AF"/>
    <w:rsid w:val="009B7C45"/>
    <w:rsid w:val="009C3FEA"/>
    <w:rsid w:val="009C5B32"/>
    <w:rsid w:val="009C5D48"/>
    <w:rsid w:val="009D12CA"/>
    <w:rsid w:val="009D1FC7"/>
    <w:rsid w:val="009D24AD"/>
    <w:rsid w:val="009D6937"/>
    <w:rsid w:val="009E1D96"/>
    <w:rsid w:val="009F2CEE"/>
    <w:rsid w:val="009F7A53"/>
    <w:rsid w:val="00A01C82"/>
    <w:rsid w:val="00A0437E"/>
    <w:rsid w:val="00A06803"/>
    <w:rsid w:val="00A23B57"/>
    <w:rsid w:val="00A34739"/>
    <w:rsid w:val="00A35739"/>
    <w:rsid w:val="00A3677F"/>
    <w:rsid w:val="00A378BB"/>
    <w:rsid w:val="00A44755"/>
    <w:rsid w:val="00A520CD"/>
    <w:rsid w:val="00A56AD9"/>
    <w:rsid w:val="00A73E76"/>
    <w:rsid w:val="00A91077"/>
    <w:rsid w:val="00A910F8"/>
    <w:rsid w:val="00A9126B"/>
    <w:rsid w:val="00A91ECF"/>
    <w:rsid w:val="00AA24FF"/>
    <w:rsid w:val="00AA612E"/>
    <w:rsid w:val="00AA65E5"/>
    <w:rsid w:val="00AB42EF"/>
    <w:rsid w:val="00AB554B"/>
    <w:rsid w:val="00AC0BD5"/>
    <w:rsid w:val="00AD4FBC"/>
    <w:rsid w:val="00AE2510"/>
    <w:rsid w:val="00AE304C"/>
    <w:rsid w:val="00AE6823"/>
    <w:rsid w:val="00AF2EE2"/>
    <w:rsid w:val="00B0319B"/>
    <w:rsid w:val="00B063BC"/>
    <w:rsid w:val="00B11748"/>
    <w:rsid w:val="00B12F2D"/>
    <w:rsid w:val="00B14323"/>
    <w:rsid w:val="00B15C97"/>
    <w:rsid w:val="00B2121B"/>
    <w:rsid w:val="00B23E4B"/>
    <w:rsid w:val="00B27D4B"/>
    <w:rsid w:val="00B354B6"/>
    <w:rsid w:val="00B37A13"/>
    <w:rsid w:val="00B462F4"/>
    <w:rsid w:val="00B477D4"/>
    <w:rsid w:val="00B55A98"/>
    <w:rsid w:val="00B55E75"/>
    <w:rsid w:val="00B62EC2"/>
    <w:rsid w:val="00B67669"/>
    <w:rsid w:val="00B751BC"/>
    <w:rsid w:val="00B77D95"/>
    <w:rsid w:val="00B836B9"/>
    <w:rsid w:val="00B85B78"/>
    <w:rsid w:val="00B868FF"/>
    <w:rsid w:val="00B87163"/>
    <w:rsid w:val="00B92652"/>
    <w:rsid w:val="00B926BF"/>
    <w:rsid w:val="00B932A9"/>
    <w:rsid w:val="00B93D77"/>
    <w:rsid w:val="00BB42FD"/>
    <w:rsid w:val="00BC2EB8"/>
    <w:rsid w:val="00BC3A6A"/>
    <w:rsid w:val="00BC4A06"/>
    <w:rsid w:val="00BC4CC1"/>
    <w:rsid w:val="00BC7B5F"/>
    <w:rsid w:val="00BD57C7"/>
    <w:rsid w:val="00BE0DDE"/>
    <w:rsid w:val="00BE697B"/>
    <w:rsid w:val="00BF75AD"/>
    <w:rsid w:val="00C006A5"/>
    <w:rsid w:val="00C0249C"/>
    <w:rsid w:val="00C1052B"/>
    <w:rsid w:val="00C13EB0"/>
    <w:rsid w:val="00C17EAD"/>
    <w:rsid w:val="00C25AED"/>
    <w:rsid w:val="00C30820"/>
    <w:rsid w:val="00C33823"/>
    <w:rsid w:val="00C428C4"/>
    <w:rsid w:val="00C56E74"/>
    <w:rsid w:val="00C607E0"/>
    <w:rsid w:val="00C659E6"/>
    <w:rsid w:val="00C7157D"/>
    <w:rsid w:val="00C719EA"/>
    <w:rsid w:val="00C80DF0"/>
    <w:rsid w:val="00C816FA"/>
    <w:rsid w:val="00C82B00"/>
    <w:rsid w:val="00C838EF"/>
    <w:rsid w:val="00C85247"/>
    <w:rsid w:val="00C95BF7"/>
    <w:rsid w:val="00CA05B4"/>
    <w:rsid w:val="00CA2651"/>
    <w:rsid w:val="00CA451C"/>
    <w:rsid w:val="00CA58E1"/>
    <w:rsid w:val="00CC01D2"/>
    <w:rsid w:val="00CC4ED5"/>
    <w:rsid w:val="00CE14FF"/>
    <w:rsid w:val="00CE3A46"/>
    <w:rsid w:val="00CF02D5"/>
    <w:rsid w:val="00CF256D"/>
    <w:rsid w:val="00CF4808"/>
    <w:rsid w:val="00CF5310"/>
    <w:rsid w:val="00CF5F35"/>
    <w:rsid w:val="00CF791E"/>
    <w:rsid w:val="00CF7FB2"/>
    <w:rsid w:val="00D022A0"/>
    <w:rsid w:val="00D0601A"/>
    <w:rsid w:val="00D076AD"/>
    <w:rsid w:val="00D13990"/>
    <w:rsid w:val="00D14E2C"/>
    <w:rsid w:val="00D17747"/>
    <w:rsid w:val="00D24F1F"/>
    <w:rsid w:val="00D25790"/>
    <w:rsid w:val="00D32D8B"/>
    <w:rsid w:val="00D45133"/>
    <w:rsid w:val="00D4766E"/>
    <w:rsid w:val="00D651BF"/>
    <w:rsid w:val="00D710AF"/>
    <w:rsid w:val="00D71390"/>
    <w:rsid w:val="00D71918"/>
    <w:rsid w:val="00D82AB9"/>
    <w:rsid w:val="00D8610C"/>
    <w:rsid w:val="00D86688"/>
    <w:rsid w:val="00D869D5"/>
    <w:rsid w:val="00D92AB7"/>
    <w:rsid w:val="00D95DC8"/>
    <w:rsid w:val="00DA165C"/>
    <w:rsid w:val="00DA4FA4"/>
    <w:rsid w:val="00DB1BD4"/>
    <w:rsid w:val="00DB77AB"/>
    <w:rsid w:val="00DC066F"/>
    <w:rsid w:val="00DD3CEE"/>
    <w:rsid w:val="00DD649B"/>
    <w:rsid w:val="00DD7386"/>
    <w:rsid w:val="00DE5FCF"/>
    <w:rsid w:val="00DE701C"/>
    <w:rsid w:val="00E01C31"/>
    <w:rsid w:val="00E023FF"/>
    <w:rsid w:val="00E029A6"/>
    <w:rsid w:val="00E0535E"/>
    <w:rsid w:val="00E14E88"/>
    <w:rsid w:val="00E17BBE"/>
    <w:rsid w:val="00E21C54"/>
    <w:rsid w:val="00E2248B"/>
    <w:rsid w:val="00E35A86"/>
    <w:rsid w:val="00E35EE8"/>
    <w:rsid w:val="00E36F36"/>
    <w:rsid w:val="00E41A59"/>
    <w:rsid w:val="00E42BA0"/>
    <w:rsid w:val="00E456FB"/>
    <w:rsid w:val="00E45D91"/>
    <w:rsid w:val="00E502D1"/>
    <w:rsid w:val="00E6062D"/>
    <w:rsid w:val="00E6194F"/>
    <w:rsid w:val="00E63A1B"/>
    <w:rsid w:val="00E763B6"/>
    <w:rsid w:val="00E7765D"/>
    <w:rsid w:val="00E823FE"/>
    <w:rsid w:val="00E8695B"/>
    <w:rsid w:val="00E9745E"/>
    <w:rsid w:val="00EB0DED"/>
    <w:rsid w:val="00EB5AEB"/>
    <w:rsid w:val="00ED3FE2"/>
    <w:rsid w:val="00ED647D"/>
    <w:rsid w:val="00EE17DA"/>
    <w:rsid w:val="00EE5877"/>
    <w:rsid w:val="00EF1F14"/>
    <w:rsid w:val="00EF68F9"/>
    <w:rsid w:val="00F070C0"/>
    <w:rsid w:val="00F1407B"/>
    <w:rsid w:val="00F236CD"/>
    <w:rsid w:val="00F35588"/>
    <w:rsid w:val="00F355C9"/>
    <w:rsid w:val="00F41EDB"/>
    <w:rsid w:val="00F452A6"/>
    <w:rsid w:val="00F54A87"/>
    <w:rsid w:val="00F65740"/>
    <w:rsid w:val="00F74403"/>
    <w:rsid w:val="00F7552F"/>
    <w:rsid w:val="00F7609D"/>
    <w:rsid w:val="00F86A21"/>
    <w:rsid w:val="00F91BB5"/>
    <w:rsid w:val="00F92E2D"/>
    <w:rsid w:val="00F94ACB"/>
    <w:rsid w:val="00FA7308"/>
    <w:rsid w:val="00FA7BDC"/>
    <w:rsid w:val="00FA7C5B"/>
    <w:rsid w:val="00FB02EB"/>
    <w:rsid w:val="00FC26A7"/>
    <w:rsid w:val="00FE0851"/>
    <w:rsid w:val="00FE1EC4"/>
    <w:rsid w:val="00FE40A8"/>
    <w:rsid w:val="00FE51B7"/>
    <w:rsid w:val="00FE7F80"/>
    <w:rsid w:val="00FF1E8F"/>
    <w:rsid w:val="00FF297D"/>
    <w:rsid w:val="00FF302F"/>
    <w:rsid w:val="00FF5EA8"/>
    <w:rsid w:val="00FF612A"/>
    <w:rsid w:val="00FF700C"/>
    <w:rsid w:val="00FF7F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B55F50"/>
  <w15:chartTrackingRefBased/>
  <w15:docId w15:val="{E36C2336-3384-2A46-9467-FAFF115F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py"/>
    <w:qFormat/>
    <w:rsid w:val="00D076AD"/>
    <w:pPr>
      <w:spacing w:after="200"/>
      <w:ind w:left="0"/>
    </w:pPr>
    <w:rPr>
      <w:rFonts w:ascii="Arial" w:hAnsi="Arial" w:cs="Helvetica Neue"/>
      <w:color w:val="5A5A5A" w:themeColor="text1" w:themeTint="A5"/>
      <w:sz w:val="24"/>
    </w:rPr>
  </w:style>
  <w:style w:type="paragraph" w:styleId="Heading1">
    <w:name w:val="heading 1"/>
    <w:basedOn w:val="NoSpacing"/>
    <w:next w:val="Normal"/>
    <w:link w:val="Heading1Char"/>
    <w:qFormat/>
    <w:rsid w:val="006C6289"/>
    <w:pPr>
      <w:spacing w:after="360" w:line="288" w:lineRule="auto"/>
      <w:jc w:val="both"/>
      <w:outlineLvl w:val="0"/>
    </w:pPr>
    <w:rPr>
      <w:rFonts w:ascii="Exo 2" w:hAnsi="Exo 2"/>
      <w:color w:val="000000" w:themeColor="text1"/>
      <w:sz w:val="48"/>
    </w:rPr>
  </w:style>
  <w:style w:type="paragraph" w:styleId="Heading2">
    <w:name w:val="heading 2"/>
    <w:basedOn w:val="Style1"/>
    <w:next w:val="Normal"/>
    <w:link w:val="Heading2Char"/>
    <w:unhideWhenUsed/>
    <w:qFormat/>
    <w:rsid w:val="005C52A2"/>
    <w:pPr>
      <w:spacing w:after="320"/>
      <w:outlineLvl w:val="1"/>
    </w:pPr>
    <w:rPr>
      <w:color w:val="333333"/>
      <w:sz w:val="36"/>
    </w:rPr>
  </w:style>
  <w:style w:type="paragraph" w:styleId="Heading3">
    <w:name w:val="heading 3"/>
    <w:basedOn w:val="Normal"/>
    <w:next w:val="Normal"/>
    <w:link w:val="Heading3Char"/>
    <w:unhideWhenUsed/>
    <w:qFormat/>
    <w:rsid w:val="005C52A2"/>
    <w:pPr>
      <w:spacing w:after="240"/>
      <w:contextualSpacing/>
      <w:outlineLvl w:val="2"/>
    </w:pPr>
    <w:rPr>
      <w:rFonts w:ascii="Exo 2" w:eastAsia="Times New Roman" w:hAnsi="Exo 2"/>
      <w:color w:val="333333"/>
      <w:spacing w:val="20"/>
      <w:sz w:val="28"/>
      <w:szCs w:val="24"/>
    </w:rPr>
  </w:style>
  <w:style w:type="paragraph" w:styleId="Heading4">
    <w:name w:val="heading 4"/>
    <w:aliases w:val="Footer 1"/>
    <w:basedOn w:val="Footer"/>
    <w:next w:val="Normal"/>
    <w:link w:val="Heading4Char"/>
    <w:unhideWhenUsed/>
    <w:qFormat/>
    <w:rsid w:val="005C52A2"/>
    <w:pPr>
      <w:tabs>
        <w:tab w:val="clear" w:pos="4680"/>
        <w:tab w:val="clear" w:pos="9360"/>
      </w:tabs>
      <w:jc w:val="right"/>
      <w:outlineLvl w:val="3"/>
    </w:pPr>
    <w:rPr>
      <w:color w:val="808080" w:themeColor="background1" w:themeShade="80"/>
      <w:sz w:val="18"/>
      <w:szCs w:val="18"/>
    </w:rPr>
  </w:style>
  <w:style w:type="paragraph" w:styleId="Heading5">
    <w:name w:val="heading 5"/>
    <w:aliases w:val="Footer 2"/>
    <w:basedOn w:val="Heading4"/>
    <w:next w:val="Normal"/>
    <w:link w:val="Heading5Char"/>
    <w:unhideWhenUsed/>
    <w:qFormat/>
    <w:rsid w:val="005C52A2"/>
    <w:pPr>
      <w:outlineLvl w:val="4"/>
    </w:pPr>
    <w:rPr>
      <w:caps/>
      <w:color w:val="71C7DE" w:themeColor="accent1"/>
    </w:rPr>
  </w:style>
  <w:style w:type="paragraph" w:styleId="Heading6">
    <w:name w:val="heading 6"/>
    <w:basedOn w:val="Normal"/>
    <w:next w:val="Normal"/>
    <w:link w:val="Heading6Char"/>
    <w:unhideWhenUsed/>
    <w:qFormat/>
    <w:rsid w:val="005C52A2"/>
    <w:pPr>
      <w:pBdr>
        <w:bottom w:val="dotted" w:sz="8" w:space="1" w:color="535353" w:themeColor="background2" w:themeShade="7F"/>
      </w:pBdr>
      <w:shd w:val="clear" w:color="auto" w:fill="333333"/>
      <w:spacing w:before="200"/>
      <w:contextualSpacing/>
      <w:outlineLvl w:val="5"/>
    </w:pPr>
    <w:rPr>
      <w:rFonts w:eastAsia="Times New Roman"/>
      <w:smallCaps/>
      <w:color w:val="21F250"/>
      <w:spacing w:val="20"/>
    </w:rPr>
  </w:style>
  <w:style w:type="paragraph" w:styleId="Heading7">
    <w:name w:val="heading 7"/>
    <w:basedOn w:val="Normal"/>
    <w:next w:val="Normal"/>
    <w:link w:val="Heading7Char"/>
    <w:uiPriority w:val="9"/>
    <w:unhideWhenUsed/>
    <w:qFormat/>
    <w:rsid w:val="005C52A2"/>
    <w:pPr>
      <w:pBdr>
        <w:bottom w:val="dotted" w:sz="8" w:space="1" w:color="535353" w:themeColor="background2" w:themeShade="7F"/>
      </w:pBdr>
      <w:spacing w:before="200" w:line="240" w:lineRule="auto"/>
      <w:contextualSpacing/>
      <w:outlineLvl w:val="6"/>
    </w:pPr>
    <w:rPr>
      <w:rFonts w:eastAsia="Times New Roman"/>
      <w:b/>
      <w:bCs/>
      <w:smallCaps/>
      <w:color w:val="535353" w:themeColor="background2" w:themeShade="7F"/>
      <w:spacing w:val="20"/>
      <w:szCs w:val="16"/>
    </w:rPr>
  </w:style>
  <w:style w:type="paragraph" w:styleId="Heading8">
    <w:name w:val="heading 8"/>
    <w:basedOn w:val="Normal"/>
    <w:next w:val="Normal"/>
    <w:link w:val="Heading8Char"/>
    <w:uiPriority w:val="9"/>
    <w:unhideWhenUsed/>
    <w:qFormat/>
    <w:rsid w:val="005C52A2"/>
    <w:pPr>
      <w:spacing w:before="200" w:line="240" w:lineRule="auto"/>
      <w:contextualSpacing/>
      <w:outlineLvl w:val="7"/>
    </w:pPr>
    <w:rPr>
      <w:rFonts w:eastAsia="Times New Roman"/>
      <w:b/>
      <w:color w:val="535353" w:themeColor="background2" w:themeShade="7F"/>
      <w:spacing w:val="20"/>
      <w:sz w:val="16"/>
      <w:szCs w:val="16"/>
    </w:rPr>
  </w:style>
  <w:style w:type="paragraph" w:styleId="Heading9">
    <w:name w:val="heading 9"/>
    <w:basedOn w:val="Normal"/>
    <w:next w:val="Normal"/>
    <w:link w:val="Heading9Char"/>
    <w:uiPriority w:val="9"/>
    <w:unhideWhenUsed/>
    <w:rsid w:val="005C52A2"/>
    <w:pPr>
      <w:spacing w:before="200" w:after="60" w:line="240" w:lineRule="auto"/>
      <w:contextualSpacing/>
      <w:outlineLvl w:val="8"/>
    </w:pPr>
    <w:rPr>
      <w:rFonts w:eastAsia="Times New Roman"/>
      <w:b/>
      <w:smallCaps/>
      <w:color w:val="5353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rsid w:val="005C52A2"/>
    <w:rPr>
      <w:rFonts w:ascii="Arial" w:eastAsia="Times New Roman" w:hAnsi="Arial" w:cs="Calibri"/>
      <w:bCs/>
      <w:smallCaps/>
      <w:color w:val="184C60" w:themeColor="text2" w:themeShade="BF"/>
      <w:spacing w:val="10"/>
      <w:u w:val="single"/>
    </w:rPr>
  </w:style>
  <w:style w:type="paragraph" w:styleId="Caption">
    <w:name w:val="caption"/>
    <w:basedOn w:val="Normal"/>
    <w:next w:val="Normal"/>
    <w:autoRedefine/>
    <w:uiPriority w:val="35"/>
    <w:unhideWhenUsed/>
    <w:qFormat/>
    <w:rsid w:val="00D076AD"/>
    <w:rPr>
      <w:b/>
      <w:bCs/>
      <w:smallCaps/>
      <w:color w:val="auto"/>
      <w:spacing w:val="10"/>
      <w:szCs w:val="18"/>
    </w:rPr>
  </w:style>
  <w:style w:type="paragraph" w:customStyle="1" w:styleId="Style1">
    <w:name w:val="Style1"/>
    <w:basedOn w:val="Normal"/>
    <w:autoRedefine/>
    <w:rsid w:val="005C52A2"/>
    <w:rPr>
      <w:rFonts w:ascii="Exo 2" w:hAnsi="Exo 2"/>
      <w:color w:val="FFFFFF" w:themeColor="background1"/>
      <w:sz w:val="88"/>
    </w:rPr>
  </w:style>
  <w:style w:type="paragraph" w:customStyle="1" w:styleId="CoverPage">
    <w:name w:val="Cover Page"/>
    <w:basedOn w:val="Style1"/>
    <w:qFormat/>
    <w:rsid w:val="005C52A2"/>
  </w:style>
  <w:style w:type="paragraph" w:customStyle="1" w:styleId="Default">
    <w:name w:val="Default"/>
    <w:autoRedefine/>
    <w:qFormat/>
    <w:rsid w:val="005C52A2"/>
    <w:pPr>
      <w:widowControl w:val="0"/>
      <w:autoSpaceDE w:val="0"/>
      <w:autoSpaceDN w:val="0"/>
      <w:adjustRightInd w:val="0"/>
      <w:spacing w:after="0" w:line="240" w:lineRule="auto"/>
      <w:ind w:left="0"/>
    </w:pPr>
    <w:rPr>
      <w:rFonts w:ascii="Arial" w:hAnsi="Arial" w:cs="Arial"/>
      <w:color w:val="000000"/>
      <w:sz w:val="24"/>
      <w:szCs w:val="24"/>
      <w:lang w:val="en-US"/>
    </w:rPr>
  </w:style>
  <w:style w:type="character" w:styleId="Emphasis">
    <w:name w:val="Emphasis"/>
    <w:uiPriority w:val="20"/>
    <w:qFormat/>
    <w:rsid w:val="005C52A2"/>
    <w:rPr>
      <w:rFonts w:ascii="Arial" w:hAnsi="Arial"/>
      <w:b/>
      <w:bCs/>
      <w:smallCaps/>
      <w:dstrike w:val="0"/>
      <w:color w:val="5A5A5A" w:themeColor="text1" w:themeTint="A5"/>
      <w:spacing w:val="20"/>
      <w:kern w:val="0"/>
      <w:vertAlign w:val="baseline"/>
    </w:rPr>
  </w:style>
  <w:style w:type="character" w:customStyle="1" w:styleId="Heading1Char">
    <w:name w:val="Heading 1 Char"/>
    <w:basedOn w:val="DefaultParagraphFont"/>
    <w:link w:val="Heading1"/>
    <w:uiPriority w:val="9"/>
    <w:rsid w:val="006C6289"/>
    <w:rPr>
      <w:rFonts w:ascii="Exo 2" w:hAnsi="Exo 2" w:cs="Helvetica Neue"/>
      <w:color w:val="000000" w:themeColor="text1"/>
      <w:sz w:val="48"/>
    </w:rPr>
  </w:style>
  <w:style w:type="character" w:customStyle="1" w:styleId="Heading2Char">
    <w:name w:val="Heading 2 Char"/>
    <w:basedOn w:val="DefaultParagraphFont"/>
    <w:link w:val="Heading2"/>
    <w:uiPriority w:val="9"/>
    <w:rsid w:val="005C52A2"/>
    <w:rPr>
      <w:rFonts w:ascii="Exo 2" w:hAnsi="Exo 2" w:cs="Helvetica Neue"/>
      <w:color w:val="333333"/>
      <w:sz w:val="36"/>
    </w:rPr>
  </w:style>
  <w:style w:type="character" w:customStyle="1" w:styleId="Heading3Char">
    <w:name w:val="Heading 3 Char"/>
    <w:basedOn w:val="DefaultParagraphFont"/>
    <w:link w:val="Heading3"/>
    <w:uiPriority w:val="9"/>
    <w:rsid w:val="005C52A2"/>
    <w:rPr>
      <w:rFonts w:ascii="Exo 2" w:eastAsia="Times New Roman" w:hAnsi="Exo 2" w:cs="Helvetica Neue"/>
      <w:color w:val="333333"/>
      <w:spacing w:val="20"/>
      <w:sz w:val="28"/>
      <w:szCs w:val="24"/>
    </w:rPr>
  </w:style>
  <w:style w:type="character" w:customStyle="1" w:styleId="Heading4Char">
    <w:name w:val="Heading 4 Char"/>
    <w:aliases w:val="Footer 1 Char"/>
    <w:basedOn w:val="DefaultParagraphFont"/>
    <w:link w:val="Heading4"/>
    <w:uiPriority w:val="9"/>
    <w:rsid w:val="005C52A2"/>
    <w:rPr>
      <w:rFonts w:ascii="Arial" w:hAnsi="Arial" w:cs="Helvetica Neue"/>
      <w:color w:val="808080" w:themeColor="background1" w:themeShade="80"/>
      <w:sz w:val="18"/>
      <w:szCs w:val="18"/>
    </w:rPr>
  </w:style>
  <w:style w:type="character" w:customStyle="1" w:styleId="Heading5Char">
    <w:name w:val="Heading 5 Char"/>
    <w:aliases w:val="Footer 2 Char"/>
    <w:basedOn w:val="DefaultParagraphFont"/>
    <w:link w:val="Heading5"/>
    <w:uiPriority w:val="9"/>
    <w:rsid w:val="005C52A2"/>
    <w:rPr>
      <w:rFonts w:ascii="Arial" w:hAnsi="Arial" w:cs="Helvetica Neue"/>
      <w:caps/>
      <w:color w:val="71C7DE" w:themeColor="accent1"/>
      <w:sz w:val="18"/>
      <w:szCs w:val="18"/>
    </w:rPr>
  </w:style>
  <w:style w:type="character" w:customStyle="1" w:styleId="Heading6Char">
    <w:name w:val="Heading 6 Char"/>
    <w:basedOn w:val="DefaultParagraphFont"/>
    <w:link w:val="Heading6"/>
    <w:uiPriority w:val="9"/>
    <w:rsid w:val="005C52A2"/>
    <w:rPr>
      <w:rFonts w:ascii="Arial" w:eastAsia="Times New Roman" w:hAnsi="Arial" w:cs="Helvetica Neue"/>
      <w:smallCaps/>
      <w:color w:val="21F250"/>
      <w:spacing w:val="20"/>
      <w:shd w:val="clear" w:color="auto" w:fill="333333"/>
    </w:rPr>
  </w:style>
  <w:style w:type="character" w:customStyle="1" w:styleId="Heading7Char">
    <w:name w:val="Heading 7 Char"/>
    <w:basedOn w:val="DefaultParagraphFont"/>
    <w:link w:val="Heading7"/>
    <w:uiPriority w:val="9"/>
    <w:rsid w:val="005C52A2"/>
    <w:rPr>
      <w:rFonts w:ascii="Arial" w:eastAsia="Times New Roman" w:hAnsi="Arial" w:cs="Helvetica Neue"/>
      <w:b/>
      <w:bCs/>
      <w:smallCaps/>
      <w:color w:val="535353" w:themeColor="background2" w:themeShade="7F"/>
      <w:spacing w:val="20"/>
      <w:szCs w:val="16"/>
    </w:rPr>
  </w:style>
  <w:style w:type="character" w:customStyle="1" w:styleId="Heading8Char">
    <w:name w:val="Heading 8 Char"/>
    <w:basedOn w:val="DefaultParagraphFont"/>
    <w:link w:val="Heading8"/>
    <w:uiPriority w:val="9"/>
    <w:rsid w:val="005C52A2"/>
    <w:rPr>
      <w:rFonts w:ascii="Arial" w:eastAsia="Times New Roman" w:hAnsi="Arial" w:cs="Helvetica Neue"/>
      <w:b/>
      <w:color w:val="535353" w:themeColor="background2" w:themeShade="7F"/>
      <w:spacing w:val="20"/>
      <w:sz w:val="16"/>
      <w:szCs w:val="16"/>
    </w:rPr>
  </w:style>
  <w:style w:type="character" w:customStyle="1" w:styleId="Heading9Char">
    <w:name w:val="Heading 9 Char"/>
    <w:basedOn w:val="DefaultParagraphFont"/>
    <w:link w:val="Heading9"/>
    <w:uiPriority w:val="9"/>
    <w:rsid w:val="005C52A2"/>
    <w:rPr>
      <w:rFonts w:ascii="Arial" w:eastAsia="Times New Roman" w:hAnsi="Arial" w:cs="Helvetica Neue"/>
      <w:b/>
      <w:smallCaps/>
      <w:color w:val="535353" w:themeColor="background2" w:themeShade="7F"/>
      <w:spacing w:val="20"/>
      <w:sz w:val="16"/>
      <w:szCs w:val="16"/>
    </w:rPr>
  </w:style>
  <w:style w:type="character" w:styleId="FollowedHyperlink">
    <w:name w:val="FollowedHyperlink"/>
    <w:basedOn w:val="DefaultParagraphFont"/>
    <w:uiPriority w:val="99"/>
    <w:unhideWhenUsed/>
    <w:rsid w:val="005C52A2"/>
    <w:rPr>
      <w:rFonts w:ascii="Arial" w:hAnsi="Arial"/>
      <w:color w:val="954F72" w:themeColor="followedHyperlink"/>
      <w:u w:val="single"/>
    </w:rPr>
  </w:style>
  <w:style w:type="paragraph" w:styleId="Footer">
    <w:name w:val="footer"/>
    <w:basedOn w:val="Normal"/>
    <w:link w:val="FooterChar"/>
    <w:unhideWhenUsed/>
    <w:rsid w:val="005C52A2"/>
    <w:pPr>
      <w:tabs>
        <w:tab w:val="center" w:pos="4680"/>
        <w:tab w:val="right" w:pos="9360"/>
      </w:tabs>
    </w:pPr>
  </w:style>
  <w:style w:type="character" w:customStyle="1" w:styleId="FooterChar">
    <w:name w:val="Footer Char"/>
    <w:basedOn w:val="DefaultParagraphFont"/>
    <w:link w:val="Footer"/>
    <w:uiPriority w:val="99"/>
    <w:rsid w:val="005C52A2"/>
    <w:rPr>
      <w:rFonts w:ascii="Arial" w:hAnsi="Arial" w:cs="Helvetica Neue"/>
      <w:color w:val="5A5A5A" w:themeColor="text1" w:themeTint="A5"/>
    </w:rPr>
  </w:style>
  <w:style w:type="table" w:styleId="GridTable1Light">
    <w:name w:val="Grid Table 1 Light"/>
    <w:basedOn w:val="TableNormal"/>
    <w:uiPriority w:val="46"/>
    <w:rsid w:val="005C52A2"/>
    <w:pPr>
      <w:spacing w:after="0" w:line="240" w:lineRule="auto"/>
    </w:pPr>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C52A2"/>
    <w:pPr>
      <w:spacing w:after="0" w:line="240" w:lineRule="auto"/>
    </w:pPr>
    <w:rPr>
      <w:rFonts w:ascii="Arial" w:hAnsi="Arial"/>
    </w:rPr>
    <w:tblPr>
      <w:tblStyleRowBandSize w:val="1"/>
      <w:tblStyleColBandSize w:val="1"/>
      <w:tblBorders>
        <w:top w:val="single" w:sz="4" w:space="0" w:color="C6E8F1" w:themeColor="accent1" w:themeTint="66"/>
        <w:left w:val="single" w:sz="4" w:space="0" w:color="C6E8F1" w:themeColor="accent1" w:themeTint="66"/>
        <w:bottom w:val="single" w:sz="4" w:space="0" w:color="C6E8F1" w:themeColor="accent1" w:themeTint="66"/>
        <w:right w:val="single" w:sz="4" w:space="0" w:color="C6E8F1" w:themeColor="accent1" w:themeTint="66"/>
        <w:insideH w:val="single" w:sz="4" w:space="0" w:color="C6E8F1" w:themeColor="accent1" w:themeTint="66"/>
        <w:insideV w:val="single" w:sz="4" w:space="0" w:color="C6E8F1" w:themeColor="accent1" w:themeTint="66"/>
      </w:tblBorders>
    </w:tblPr>
    <w:tblStylePr w:type="firstRow">
      <w:rPr>
        <w:b/>
        <w:bCs/>
      </w:rPr>
      <w:tblPr/>
      <w:tcPr>
        <w:tcBorders>
          <w:bottom w:val="single" w:sz="12" w:space="0" w:color="A9DDEB" w:themeColor="accent1" w:themeTint="99"/>
        </w:tcBorders>
      </w:tcPr>
    </w:tblStylePr>
    <w:tblStylePr w:type="lastRow">
      <w:rPr>
        <w:b/>
        <w:bCs/>
      </w:rPr>
      <w:tblPr/>
      <w:tcPr>
        <w:tcBorders>
          <w:top w:val="double" w:sz="2" w:space="0" w:color="A9DDEB" w:themeColor="accent1" w:themeTint="99"/>
        </w:tcBorders>
      </w:tcPr>
    </w:tblStylePr>
    <w:tblStylePr w:type="firstCol">
      <w:rPr>
        <w:b/>
        <w:bCs/>
      </w:rPr>
    </w:tblStylePr>
    <w:tblStylePr w:type="lastCol">
      <w:rPr>
        <w:b/>
        <w:bCs/>
      </w:rPr>
    </w:tblStylePr>
  </w:style>
  <w:style w:type="paragraph" w:styleId="Header">
    <w:name w:val="header"/>
    <w:basedOn w:val="Normal"/>
    <w:link w:val="HeaderChar"/>
    <w:unhideWhenUsed/>
    <w:rsid w:val="005C52A2"/>
    <w:pPr>
      <w:tabs>
        <w:tab w:val="center" w:pos="4680"/>
        <w:tab w:val="right" w:pos="9360"/>
      </w:tabs>
    </w:pPr>
  </w:style>
  <w:style w:type="character" w:customStyle="1" w:styleId="HeaderChar">
    <w:name w:val="Header Char"/>
    <w:basedOn w:val="DefaultParagraphFont"/>
    <w:link w:val="Header"/>
    <w:uiPriority w:val="99"/>
    <w:rsid w:val="005C52A2"/>
    <w:rPr>
      <w:rFonts w:ascii="Arial" w:hAnsi="Arial" w:cs="Helvetica Neue"/>
      <w:color w:val="5A5A5A" w:themeColor="text1" w:themeTint="A5"/>
    </w:rPr>
  </w:style>
  <w:style w:type="paragraph" w:styleId="NoSpacing">
    <w:name w:val="No Spacing"/>
    <w:basedOn w:val="Normal"/>
    <w:link w:val="NoSpacingChar"/>
    <w:uiPriority w:val="1"/>
    <w:rsid w:val="005C52A2"/>
    <w:pPr>
      <w:spacing w:after="0" w:line="240" w:lineRule="auto"/>
    </w:pPr>
  </w:style>
  <w:style w:type="character" w:customStyle="1" w:styleId="NoSpacingChar">
    <w:name w:val="No Spacing Char"/>
    <w:basedOn w:val="DefaultParagraphFont"/>
    <w:link w:val="NoSpacing"/>
    <w:uiPriority w:val="1"/>
    <w:rsid w:val="005C52A2"/>
    <w:rPr>
      <w:rFonts w:ascii="Arial" w:hAnsi="Arial" w:cs="Helvetica Neue"/>
      <w:color w:val="5A5A5A" w:themeColor="text1" w:themeTint="A5"/>
    </w:rPr>
  </w:style>
  <w:style w:type="character" w:styleId="Hyperlink">
    <w:name w:val="Hyperlink"/>
    <w:basedOn w:val="DefaultParagraphFont"/>
    <w:uiPriority w:val="99"/>
    <w:unhideWhenUsed/>
    <w:rsid w:val="005C52A2"/>
    <w:rPr>
      <w:rFonts w:ascii="Arial" w:hAnsi="Arial"/>
      <w:color w:val="0563C1" w:themeColor="hyperlink"/>
      <w:u w:val="single"/>
    </w:rPr>
  </w:style>
  <w:style w:type="paragraph" w:customStyle="1" w:styleId="ICW-TABLECONTENT">
    <w:name w:val="ICW - TABLE CONTENT"/>
    <w:basedOn w:val="Normal"/>
    <w:autoRedefine/>
    <w:qFormat/>
    <w:rsid w:val="005C52A2"/>
    <w:pPr>
      <w:spacing w:line="240" w:lineRule="auto"/>
    </w:pPr>
    <w:rPr>
      <w:bCs/>
      <w:iCs/>
    </w:rPr>
  </w:style>
  <w:style w:type="paragraph" w:customStyle="1" w:styleId="ICWTABLEHEADING">
    <w:name w:val="ICW TABLE HEADING"/>
    <w:basedOn w:val="Heading3"/>
    <w:autoRedefine/>
    <w:qFormat/>
    <w:rsid w:val="005C52A2"/>
    <w:pPr>
      <w:spacing w:line="240" w:lineRule="auto"/>
    </w:pPr>
    <w:rPr>
      <w:rFonts w:ascii="Arial" w:eastAsiaTheme="minorEastAsia" w:hAnsi="Arial"/>
      <w:b/>
      <w:color w:val="21F250"/>
      <w:sz w:val="30"/>
    </w:rPr>
  </w:style>
  <w:style w:type="character" w:styleId="IntenseEmphasis">
    <w:name w:val="Intense Emphasis"/>
    <w:basedOn w:val="Heading2Char"/>
    <w:uiPriority w:val="21"/>
    <w:rsid w:val="005C52A2"/>
    <w:rPr>
      <w:rFonts w:ascii="Arial" w:hAnsi="Arial" w:cs="Helvetica Neue"/>
      <w:b w:val="0"/>
      <w:i w:val="0"/>
      <w:color w:val="6EBE46"/>
      <w:spacing w:val="20"/>
      <w:sz w:val="24"/>
      <w14:textFill>
        <w14:gradFill>
          <w14:gsLst>
            <w14:gs w14:pos="0">
              <w14:srgbClr w14:val="6EBE46"/>
            </w14:gs>
            <w14:gs w14:pos="100000">
              <w14:srgbClr w14:val="6CC7C1"/>
            </w14:gs>
          </w14:gsLst>
          <w14:lin w14:ang="0" w14:scaled="0"/>
        </w14:gradFill>
      </w14:textFill>
    </w:rPr>
  </w:style>
  <w:style w:type="paragraph" w:styleId="IntenseQuote">
    <w:name w:val="Intense Quote"/>
    <w:basedOn w:val="Normal"/>
    <w:next w:val="Normal"/>
    <w:link w:val="IntenseQuoteChar"/>
    <w:uiPriority w:val="30"/>
    <w:qFormat/>
    <w:rsid w:val="005C52A2"/>
    <w:pPr>
      <w:pBdr>
        <w:top w:val="single" w:sz="4" w:space="12" w:color="000000" w:themeColor="text1"/>
        <w:left w:val="single" w:sz="4" w:space="15" w:color="000000" w:themeColor="text1"/>
        <w:bottom w:val="single" w:sz="4" w:space="10" w:color="000000" w:themeColor="text1"/>
        <w:right w:val="single" w:sz="4" w:space="15" w:color="000000" w:themeColor="text1"/>
        <w:between w:val="single" w:sz="4" w:space="12" w:color="94D4E6" w:themeColor="accent1" w:themeTint="BF"/>
        <w:bar w:val="single" w:sz="4" w:color="94D4E6" w:themeColor="accent1" w:themeTint="BF"/>
      </w:pBdr>
      <w:ind w:right="431"/>
      <w:jc w:val="center"/>
    </w:pPr>
    <w:rPr>
      <w:rFonts w:eastAsia="Times New Roman"/>
      <w:color w:val="000000" w:themeColor="text1"/>
    </w:rPr>
  </w:style>
  <w:style w:type="character" w:customStyle="1" w:styleId="IntenseQuoteChar">
    <w:name w:val="Intense Quote Char"/>
    <w:basedOn w:val="DefaultParagraphFont"/>
    <w:link w:val="IntenseQuote"/>
    <w:uiPriority w:val="30"/>
    <w:rsid w:val="005C52A2"/>
    <w:rPr>
      <w:rFonts w:ascii="Arial" w:eastAsia="Times New Roman" w:hAnsi="Arial" w:cs="Helvetica Neue"/>
      <w:color w:val="000000" w:themeColor="text1"/>
    </w:rPr>
  </w:style>
  <w:style w:type="character" w:styleId="IntenseReference">
    <w:name w:val="Intense Reference"/>
    <w:uiPriority w:val="32"/>
    <w:rsid w:val="005C52A2"/>
    <w:rPr>
      <w:rFonts w:ascii="Arial" w:eastAsia="Times New Roman" w:hAnsi="Arial"/>
      <w:b/>
      <w:bCs/>
      <w:smallCaps/>
      <w:color w:val="184C60" w:themeColor="text2" w:themeShade="BF"/>
      <w:spacing w:val="20"/>
    </w:rPr>
  </w:style>
  <w:style w:type="paragraph" w:styleId="ListParagraph">
    <w:name w:val="List Paragraph"/>
    <w:aliases w:val="List_Paragraph,Multilevel para_II,List Paragraph1,List Paragraph11,ADB paragraph numbering,Colorful List - Accent 11,References,List Paragraph (numbered (a)),Source,List Paragraph111,1 Paraprah,List Paragraph1111,Citation List,Bullets,Ha"/>
    <w:basedOn w:val="Normal"/>
    <w:link w:val="ListParagraphChar"/>
    <w:uiPriority w:val="34"/>
    <w:qFormat/>
    <w:rsid w:val="005C52A2"/>
    <w:pPr>
      <w:keepLines/>
      <w:ind w:left="720"/>
      <w:contextualSpacing/>
    </w:pPr>
  </w:style>
  <w:style w:type="character" w:styleId="PageNumber">
    <w:name w:val="page number"/>
    <w:basedOn w:val="DefaultParagraphFont"/>
    <w:unhideWhenUsed/>
    <w:rsid w:val="005C52A2"/>
    <w:rPr>
      <w:rFonts w:ascii="Arial" w:hAnsi="Arial"/>
    </w:rPr>
  </w:style>
  <w:style w:type="table" w:styleId="PlainTable1">
    <w:name w:val="Plain Table 1"/>
    <w:aliases w:val="ICW TABLE"/>
    <w:basedOn w:val="TableNormal"/>
    <w:uiPriority w:val="41"/>
    <w:rsid w:val="005C52A2"/>
    <w:pPr>
      <w:spacing w:after="0" w:line="240" w:lineRule="auto"/>
    </w:pPr>
    <w:rPr>
      <w:rFonts w:ascii="Arial" w:hAnsi="Arial" w:cs="Times New Roman (Body C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wordWrap/>
        <w:spacing w:beforeLines="0" w:before="120" w:beforeAutospacing="0" w:line="240" w:lineRule="auto"/>
        <w:jc w:val="left"/>
        <w:outlineLvl w:val="0"/>
      </w:pPr>
      <w:rPr>
        <w:rFonts w:ascii="Helvetica" w:hAnsi="Helvetica"/>
        <w:b/>
        <w:bCs/>
        <w:i w:val="0"/>
        <w:color w:val="21F250"/>
        <w:sz w:val="32"/>
      </w:rPr>
      <w:tblPr/>
      <w:tcPr>
        <w:shd w:val="clear" w:color="auto" w:fill="333333"/>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rPr>
        <w:rFonts w:ascii="Helvetica Light" w:hAnsi="Helvetica Light"/>
        <w:b w:val="0"/>
        <w:i w:val="0"/>
        <w:sz w:val="20"/>
      </w:rPr>
      <w:tblPr/>
      <w:tcPr>
        <w:shd w:val="clear" w:color="auto" w:fill="F2F2F2" w:themeFill="background1" w:themeFillShade="F2"/>
      </w:tcPr>
    </w:tblStylePr>
    <w:tblStylePr w:type="band2Horz">
      <w:rPr>
        <w:rFonts w:ascii="Helvetica Light" w:hAnsi="Helvetica Light"/>
        <w:b w:val="0"/>
        <w:i w:val="0"/>
        <w:sz w:val="20"/>
      </w:rPr>
    </w:tblStylePr>
  </w:style>
  <w:style w:type="table" w:styleId="PlainTable4">
    <w:name w:val="Plain Table 4"/>
    <w:basedOn w:val="TableNormal"/>
    <w:uiPriority w:val="44"/>
    <w:rsid w:val="005C52A2"/>
    <w:pPr>
      <w:spacing w:after="0" w:line="240" w:lineRule="auto"/>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29"/>
    <w:qFormat/>
    <w:rsid w:val="005C52A2"/>
    <w:rPr>
      <w:i/>
      <w:iCs/>
    </w:rPr>
  </w:style>
  <w:style w:type="character" w:customStyle="1" w:styleId="QuoteChar">
    <w:name w:val="Quote Char"/>
    <w:basedOn w:val="DefaultParagraphFont"/>
    <w:link w:val="Quote"/>
    <w:uiPriority w:val="29"/>
    <w:rsid w:val="005C52A2"/>
    <w:rPr>
      <w:rFonts w:ascii="Arial" w:hAnsi="Arial" w:cs="Helvetica Neue"/>
      <w:i/>
      <w:iCs/>
      <w:color w:val="5A5A5A" w:themeColor="text1" w:themeTint="A5"/>
    </w:rPr>
  </w:style>
  <w:style w:type="paragraph" w:customStyle="1" w:styleId="ScheduleNotes">
    <w:name w:val="Schedule Notes"/>
    <w:basedOn w:val="Normal"/>
    <w:rsid w:val="005C52A2"/>
    <w:pPr>
      <w:spacing w:before="140" w:after="140" w:line="280" w:lineRule="atLeast"/>
      <w:ind w:left="1134"/>
    </w:pPr>
    <w:rPr>
      <w:rFonts w:eastAsia="Times New Roman" w:cs="Arial"/>
      <w:color w:val="auto"/>
      <w:sz w:val="22"/>
      <w:szCs w:val="22"/>
      <w:lang w:eastAsia="en-AU"/>
    </w:rPr>
  </w:style>
  <w:style w:type="character" w:styleId="Strong">
    <w:name w:val="Strong"/>
    <w:aliases w:val="Sub Heading"/>
    <w:uiPriority w:val="22"/>
    <w:qFormat/>
    <w:rsid w:val="005C52A2"/>
    <w:rPr>
      <w:bCs/>
      <w:color w:val="333333"/>
      <w:sz w:val="32"/>
    </w:rPr>
  </w:style>
  <w:style w:type="paragraph" w:styleId="Subtitle">
    <w:name w:val="Subtitle"/>
    <w:next w:val="Normal"/>
    <w:link w:val="SubtitleChar"/>
    <w:uiPriority w:val="11"/>
    <w:qFormat/>
    <w:rsid w:val="005C52A2"/>
    <w:pPr>
      <w:spacing w:after="280" w:line="240" w:lineRule="auto"/>
      <w:ind w:left="0"/>
    </w:pPr>
    <w:rPr>
      <w:rFonts w:ascii="Arial" w:hAnsi="Arial" w:cs="Helvetica Neue"/>
      <w:color w:val="535353" w:themeColor="background2" w:themeShade="7F"/>
      <w:spacing w:val="5"/>
      <w:sz w:val="28"/>
      <w:szCs w:val="28"/>
    </w:rPr>
  </w:style>
  <w:style w:type="character" w:customStyle="1" w:styleId="SubtitleChar">
    <w:name w:val="Subtitle Char"/>
    <w:basedOn w:val="DefaultParagraphFont"/>
    <w:link w:val="Subtitle"/>
    <w:uiPriority w:val="11"/>
    <w:rsid w:val="005C52A2"/>
    <w:rPr>
      <w:rFonts w:ascii="Arial" w:hAnsi="Arial" w:cs="Helvetica Neue"/>
      <w:color w:val="535353" w:themeColor="background2" w:themeShade="7F"/>
      <w:spacing w:val="5"/>
      <w:sz w:val="28"/>
      <w:szCs w:val="28"/>
    </w:rPr>
  </w:style>
  <w:style w:type="character" w:styleId="SubtleEmphasis">
    <w:name w:val="Subtle Emphasis"/>
    <w:uiPriority w:val="19"/>
    <w:qFormat/>
    <w:rsid w:val="005C52A2"/>
    <w:rPr>
      <w:smallCaps/>
      <w:dstrike w:val="0"/>
      <w:color w:val="5A5A5A" w:themeColor="text1" w:themeTint="A5"/>
      <w:vertAlign w:val="baseline"/>
    </w:rPr>
  </w:style>
  <w:style w:type="character" w:styleId="SubtleReference">
    <w:name w:val="Subtle Reference"/>
    <w:uiPriority w:val="31"/>
    <w:rsid w:val="005C52A2"/>
    <w:rPr>
      <w:rFonts w:ascii="Exo 2" w:eastAsia="Times New Roman" w:hAnsi="Exo 2" w:cs="Calibri"/>
      <w:smallCaps/>
      <w:spacing w:val="20"/>
    </w:rPr>
  </w:style>
  <w:style w:type="table" w:styleId="TableGrid">
    <w:name w:val="Table Grid"/>
    <w:basedOn w:val="TableNormal"/>
    <w:uiPriority w:val="39"/>
    <w:rsid w:val="005C52A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5C52A2"/>
    <w:pPr>
      <w:spacing w:after="200"/>
      <w:ind w:left="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5C52A2"/>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next w:val="NoSpacing"/>
    <w:link w:val="TitleChar"/>
    <w:autoRedefine/>
    <w:uiPriority w:val="10"/>
    <w:rsid w:val="005C52A2"/>
    <w:pPr>
      <w:spacing w:after="0" w:line="168" w:lineRule="auto"/>
      <w:ind w:left="0"/>
      <w:contextualSpacing/>
      <w:textboxTightWrap w:val="allLines"/>
    </w:pPr>
    <w:rPr>
      <w:rFonts w:ascii="Exo 2" w:eastAsia="Times New Roman" w:hAnsi="Exo 2" w:cs="Times New Roman"/>
      <w:caps/>
      <w:color w:val="FFFFFF" w:themeColor="background1"/>
      <w:kern w:val="136"/>
      <w:position w:val="-6"/>
      <w:sz w:val="96"/>
      <w:szCs w:val="136"/>
    </w:rPr>
  </w:style>
  <w:style w:type="character" w:customStyle="1" w:styleId="TitleChar">
    <w:name w:val="Title Char"/>
    <w:basedOn w:val="DefaultParagraphFont"/>
    <w:link w:val="Title"/>
    <w:uiPriority w:val="10"/>
    <w:rsid w:val="005C52A2"/>
    <w:rPr>
      <w:rFonts w:ascii="Exo 2" w:eastAsia="Times New Roman" w:hAnsi="Exo 2" w:cs="Times New Roman"/>
      <w:caps/>
      <w:color w:val="FFFFFF" w:themeColor="background1"/>
      <w:kern w:val="136"/>
      <w:position w:val="-6"/>
      <w:sz w:val="96"/>
      <w:szCs w:val="136"/>
    </w:rPr>
  </w:style>
  <w:style w:type="paragraph" w:styleId="TOCHeading">
    <w:name w:val="TOC Heading"/>
    <w:basedOn w:val="Heading1"/>
    <w:next w:val="Normal"/>
    <w:uiPriority w:val="39"/>
    <w:semiHidden/>
    <w:unhideWhenUsed/>
    <w:qFormat/>
    <w:rsid w:val="005C52A2"/>
    <w:pPr>
      <w:outlineLvl w:val="9"/>
    </w:pPr>
  </w:style>
  <w:style w:type="character" w:customStyle="1" w:styleId="UnresolvedMention1">
    <w:name w:val="Unresolved Mention1"/>
    <w:basedOn w:val="DefaultParagraphFont"/>
    <w:uiPriority w:val="99"/>
    <w:semiHidden/>
    <w:unhideWhenUsed/>
    <w:rsid w:val="005C52A2"/>
    <w:rPr>
      <w:color w:val="605E5C"/>
      <w:shd w:val="clear" w:color="auto" w:fill="E1DFDD"/>
    </w:rPr>
  </w:style>
  <w:style w:type="paragraph" w:styleId="FootnoteText">
    <w:name w:val="footnote text"/>
    <w:basedOn w:val="Normal"/>
    <w:link w:val="FootnoteTextChar"/>
    <w:uiPriority w:val="99"/>
    <w:semiHidden/>
    <w:unhideWhenUsed/>
    <w:rsid w:val="00E17BBE"/>
    <w:pPr>
      <w:spacing w:after="0" w:line="240" w:lineRule="auto"/>
    </w:pPr>
  </w:style>
  <w:style w:type="character" w:customStyle="1" w:styleId="FootnoteTextChar">
    <w:name w:val="Footnote Text Char"/>
    <w:basedOn w:val="DefaultParagraphFont"/>
    <w:link w:val="FootnoteText"/>
    <w:uiPriority w:val="99"/>
    <w:semiHidden/>
    <w:rsid w:val="00E17BBE"/>
    <w:rPr>
      <w:rFonts w:ascii="Arial" w:hAnsi="Arial" w:cs="Helvetica Neue"/>
      <w:color w:val="5A5A5A" w:themeColor="text1" w:themeTint="A5"/>
    </w:rPr>
  </w:style>
  <w:style w:type="character" w:styleId="FootnoteReference">
    <w:name w:val="footnote reference"/>
    <w:basedOn w:val="DefaultParagraphFont"/>
    <w:uiPriority w:val="99"/>
    <w:semiHidden/>
    <w:unhideWhenUsed/>
    <w:rsid w:val="00E17BBE"/>
    <w:rPr>
      <w:vertAlign w:val="superscript"/>
    </w:rPr>
  </w:style>
  <w:style w:type="table" w:customStyle="1" w:styleId="TableGrid10">
    <w:name w:val="Table Grid1"/>
    <w:basedOn w:val="TableNormal"/>
    <w:next w:val="TableGrid"/>
    <w:uiPriority w:val="59"/>
    <w:rsid w:val="006812E2"/>
    <w:pPr>
      <w:spacing w:before="100" w:after="60" w:line="264" w:lineRule="auto"/>
      <w:ind w:left="0"/>
    </w:pPr>
    <w:rPr>
      <w:rFonts w:ascii="Arial" w:eastAsia="Cambria" w:hAnsi="Arial" w:cs="Times New Roman"/>
      <w:sz w:val="16"/>
    </w:rPr>
    <w:tblPr>
      <w:tblInd w:w="0" w:type="nil"/>
      <w:tblBorders>
        <w:top w:val="single" w:sz="4" w:space="0" w:color="CFCFCF"/>
        <w:left w:val="single" w:sz="4" w:space="0" w:color="CFCFCF"/>
        <w:bottom w:val="single" w:sz="4" w:space="0" w:color="CFCFCF"/>
        <w:right w:val="single" w:sz="4" w:space="0" w:color="CFCFCF"/>
        <w:insideH w:val="single" w:sz="4" w:space="0" w:color="CFCFCF"/>
        <w:insideV w:val="single" w:sz="4" w:space="0" w:color="CFCFCF"/>
      </w:tblBorders>
    </w:tblPr>
  </w:style>
  <w:style w:type="character" w:styleId="CommentReference">
    <w:name w:val="annotation reference"/>
    <w:basedOn w:val="DefaultParagraphFont"/>
    <w:uiPriority w:val="99"/>
    <w:semiHidden/>
    <w:unhideWhenUsed/>
    <w:rsid w:val="00A44755"/>
    <w:rPr>
      <w:sz w:val="16"/>
      <w:szCs w:val="16"/>
    </w:rPr>
  </w:style>
  <w:style w:type="paragraph" w:styleId="CommentText">
    <w:name w:val="annotation text"/>
    <w:basedOn w:val="Normal"/>
    <w:link w:val="CommentTextChar"/>
    <w:uiPriority w:val="99"/>
    <w:unhideWhenUsed/>
    <w:rsid w:val="00A44755"/>
    <w:pPr>
      <w:spacing w:line="240" w:lineRule="auto"/>
    </w:pPr>
  </w:style>
  <w:style w:type="character" w:customStyle="1" w:styleId="CommentTextChar">
    <w:name w:val="Comment Text Char"/>
    <w:basedOn w:val="DefaultParagraphFont"/>
    <w:link w:val="CommentText"/>
    <w:uiPriority w:val="99"/>
    <w:rsid w:val="00A44755"/>
    <w:rPr>
      <w:rFonts w:ascii="Arial" w:hAnsi="Arial" w:cs="Helvetica Neue"/>
      <w:color w:val="5A5A5A" w:themeColor="text1" w:themeTint="A5"/>
    </w:rPr>
  </w:style>
  <w:style w:type="paragraph" w:styleId="CommentSubject">
    <w:name w:val="annotation subject"/>
    <w:basedOn w:val="CommentText"/>
    <w:next w:val="CommentText"/>
    <w:link w:val="CommentSubjectChar"/>
    <w:uiPriority w:val="99"/>
    <w:semiHidden/>
    <w:unhideWhenUsed/>
    <w:rsid w:val="00A44755"/>
    <w:rPr>
      <w:b/>
      <w:bCs/>
    </w:rPr>
  </w:style>
  <w:style w:type="character" w:customStyle="1" w:styleId="CommentSubjectChar">
    <w:name w:val="Comment Subject Char"/>
    <w:basedOn w:val="CommentTextChar"/>
    <w:link w:val="CommentSubject"/>
    <w:uiPriority w:val="99"/>
    <w:semiHidden/>
    <w:rsid w:val="00A44755"/>
    <w:rPr>
      <w:rFonts w:ascii="Arial" w:hAnsi="Arial" w:cs="Helvetica Neue"/>
      <w:b/>
      <w:bCs/>
      <w:color w:val="5A5A5A" w:themeColor="text1" w:themeTint="A5"/>
    </w:rPr>
  </w:style>
  <w:style w:type="paragraph" w:styleId="BalloonText">
    <w:name w:val="Balloon Text"/>
    <w:basedOn w:val="Normal"/>
    <w:link w:val="BalloonTextChar"/>
    <w:uiPriority w:val="99"/>
    <w:semiHidden/>
    <w:unhideWhenUsed/>
    <w:rsid w:val="00A44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755"/>
    <w:rPr>
      <w:rFonts w:ascii="Segoe UI" w:hAnsi="Segoe UI" w:cs="Segoe UI"/>
      <w:color w:val="5A5A5A" w:themeColor="text1" w:themeTint="A5"/>
      <w:sz w:val="18"/>
      <w:szCs w:val="18"/>
    </w:rPr>
  </w:style>
  <w:style w:type="numbering" w:customStyle="1" w:styleId="NoList1">
    <w:name w:val="No List1"/>
    <w:next w:val="NoList"/>
    <w:semiHidden/>
    <w:rsid w:val="006E3C65"/>
  </w:style>
  <w:style w:type="paragraph" w:styleId="BodyText">
    <w:name w:val="Body Text"/>
    <w:basedOn w:val="Normal"/>
    <w:link w:val="BodyTextChar"/>
    <w:rsid w:val="006E3C65"/>
    <w:pPr>
      <w:autoSpaceDE w:val="0"/>
      <w:autoSpaceDN w:val="0"/>
      <w:adjustRightInd w:val="0"/>
      <w:spacing w:after="0" w:line="240" w:lineRule="auto"/>
    </w:pPr>
    <w:rPr>
      <w:rFonts w:ascii="Times New Roman" w:eastAsia="Times New Roman" w:hAnsi="Times New Roman" w:cs="Times New Roman"/>
      <w:color w:val="auto"/>
      <w:sz w:val="22"/>
    </w:rPr>
  </w:style>
  <w:style w:type="character" w:customStyle="1" w:styleId="BodyTextChar">
    <w:name w:val="Body Text Char"/>
    <w:basedOn w:val="DefaultParagraphFont"/>
    <w:link w:val="BodyText"/>
    <w:rsid w:val="006E3C65"/>
    <w:rPr>
      <w:rFonts w:ascii="Times New Roman" w:eastAsia="Times New Roman" w:hAnsi="Times New Roman" w:cs="Times New Roman"/>
      <w:sz w:val="22"/>
    </w:rPr>
  </w:style>
  <w:style w:type="paragraph" w:styleId="BodyText2">
    <w:name w:val="Body Text 2"/>
    <w:basedOn w:val="Normal"/>
    <w:link w:val="BodyText2Char"/>
    <w:rsid w:val="006E3C65"/>
    <w:pPr>
      <w:widowControl w:val="0"/>
      <w:spacing w:before="120" w:after="0" w:line="240" w:lineRule="auto"/>
    </w:pPr>
    <w:rPr>
      <w:rFonts w:ascii="Times New Roman" w:eastAsia="Times New Roman" w:hAnsi="Times New Roman" w:cs="Times New Roman"/>
      <w:snapToGrid w:val="0"/>
      <w:color w:val="auto"/>
      <w:lang w:val="en-US"/>
    </w:rPr>
  </w:style>
  <w:style w:type="character" w:customStyle="1" w:styleId="BodyText2Char">
    <w:name w:val="Body Text 2 Char"/>
    <w:basedOn w:val="DefaultParagraphFont"/>
    <w:link w:val="BodyText2"/>
    <w:rsid w:val="006E3C65"/>
    <w:rPr>
      <w:rFonts w:ascii="Times New Roman" w:eastAsia="Times New Roman" w:hAnsi="Times New Roman" w:cs="Times New Roman"/>
      <w:snapToGrid w:val="0"/>
      <w:sz w:val="24"/>
      <w:lang w:val="en-US"/>
    </w:rPr>
  </w:style>
  <w:style w:type="table" w:customStyle="1" w:styleId="TableGrid2">
    <w:name w:val="Table Grid2"/>
    <w:basedOn w:val="TableNormal"/>
    <w:next w:val="TableGrid"/>
    <w:rsid w:val="006E3C65"/>
    <w:pPr>
      <w:spacing w:after="0" w:line="240" w:lineRule="auto"/>
      <w:ind w:left="0"/>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6E3C65"/>
    <w:rPr>
      <w:rFonts w:cs="Times New Roman"/>
    </w:rPr>
  </w:style>
  <w:style w:type="character" w:styleId="UnresolvedMention">
    <w:name w:val="Unresolved Mention"/>
    <w:uiPriority w:val="99"/>
    <w:semiHidden/>
    <w:unhideWhenUsed/>
    <w:rsid w:val="006E3C65"/>
    <w:rPr>
      <w:color w:val="605E5C"/>
      <w:shd w:val="clear" w:color="auto" w:fill="E1DFDD"/>
    </w:rPr>
  </w:style>
  <w:style w:type="paragraph" w:styleId="NormalWeb">
    <w:name w:val="Normal (Web)"/>
    <w:basedOn w:val="Normal"/>
    <w:uiPriority w:val="99"/>
    <w:unhideWhenUsed/>
    <w:rsid w:val="006E3C65"/>
    <w:pPr>
      <w:spacing w:before="100" w:beforeAutospacing="1" w:after="100" w:afterAutospacing="1" w:line="240" w:lineRule="auto"/>
    </w:pPr>
    <w:rPr>
      <w:rFonts w:ascii="Times New Roman" w:eastAsia="Times New Roman" w:hAnsi="Times New Roman" w:cs="Times New Roman"/>
      <w:color w:val="auto"/>
      <w:szCs w:val="24"/>
      <w:lang w:val="en-US"/>
    </w:rPr>
  </w:style>
  <w:style w:type="character" w:styleId="PlaceholderText">
    <w:name w:val="Placeholder Text"/>
    <w:basedOn w:val="DefaultParagraphFont"/>
    <w:uiPriority w:val="99"/>
    <w:semiHidden/>
    <w:rsid w:val="00BC4CC1"/>
    <w:rPr>
      <w:color w:val="808080"/>
    </w:rPr>
  </w:style>
  <w:style w:type="paragraph" w:customStyle="1" w:styleId="msonormal0">
    <w:name w:val="msonormal"/>
    <w:basedOn w:val="Normal"/>
    <w:rsid w:val="0006253D"/>
    <w:pPr>
      <w:spacing w:before="100" w:beforeAutospacing="1" w:after="100" w:afterAutospacing="1" w:line="240" w:lineRule="auto"/>
    </w:pPr>
    <w:rPr>
      <w:rFonts w:ascii="Times New Roman" w:eastAsia="Times New Roman" w:hAnsi="Times New Roman" w:cs="Times New Roman"/>
      <w:color w:val="auto"/>
      <w:szCs w:val="24"/>
      <w:lang w:eastAsia="en-AU"/>
    </w:rPr>
  </w:style>
  <w:style w:type="paragraph" w:customStyle="1" w:styleId="font5">
    <w:name w:val="font5"/>
    <w:basedOn w:val="Normal"/>
    <w:rsid w:val="0006253D"/>
    <w:pPr>
      <w:spacing w:before="100" w:beforeAutospacing="1" w:after="100" w:afterAutospacing="1" w:line="240" w:lineRule="auto"/>
    </w:pPr>
    <w:rPr>
      <w:rFonts w:ascii="Tahoma" w:eastAsia="Times New Roman" w:hAnsi="Tahoma" w:cs="Tahoma"/>
      <w:color w:val="000000"/>
      <w:sz w:val="18"/>
      <w:szCs w:val="18"/>
      <w:lang w:eastAsia="en-AU"/>
    </w:rPr>
  </w:style>
  <w:style w:type="paragraph" w:customStyle="1" w:styleId="font6">
    <w:name w:val="font6"/>
    <w:basedOn w:val="Normal"/>
    <w:rsid w:val="0006253D"/>
    <w:pPr>
      <w:spacing w:before="100" w:beforeAutospacing="1" w:after="100" w:afterAutospacing="1" w:line="240" w:lineRule="auto"/>
    </w:pPr>
    <w:rPr>
      <w:rFonts w:ascii="Tahoma" w:eastAsia="Times New Roman" w:hAnsi="Tahoma" w:cs="Tahoma"/>
      <w:b/>
      <w:bCs/>
      <w:color w:val="000000"/>
      <w:sz w:val="18"/>
      <w:szCs w:val="18"/>
      <w:lang w:eastAsia="en-AU"/>
    </w:rPr>
  </w:style>
  <w:style w:type="paragraph" w:customStyle="1" w:styleId="xl70">
    <w:name w:val="xl70"/>
    <w:basedOn w:val="Normal"/>
    <w:rsid w:val="0006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Cs w:val="24"/>
      <w:lang w:eastAsia="en-AU"/>
    </w:rPr>
  </w:style>
  <w:style w:type="paragraph" w:customStyle="1" w:styleId="xl71">
    <w:name w:val="xl71"/>
    <w:basedOn w:val="Normal"/>
    <w:rsid w:val="0006253D"/>
    <w:pPr>
      <w:shd w:val="clear" w:color="000000" w:fill="000000"/>
      <w:spacing w:before="100" w:beforeAutospacing="1" w:after="100" w:afterAutospacing="1" w:line="240" w:lineRule="auto"/>
    </w:pPr>
    <w:rPr>
      <w:rFonts w:ascii="Times New Roman" w:eastAsia="Times New Roman" w:hAnsi="Times New Roman" w:cs="Times New Roman"/>
      <w:color w:val="auto"/>
      <w:szCs w:val="24"/>
      <w:lang w:eastAsia="en-AU"/>
    </w:rPr>
  </w:style>
  <w:style w:type="paragraph" w:customStyle="1" w:styleId="xl72">
    <w:name w:val="xl72"/>
    <w:basedOn w:val="Normal"/>
    <w:rsid w:val="0006253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auto"/>
      <w:szCs w:val="24"/>
      <w:lang w:eastAsia="en-AU"/>
    </w:rPr>
  </w:style>
  <w:style w:type="paragraph" w:customStyle="1" w:styleId="xl73">
    <w:name w:val="xl73"/>
    <w:basedOn w:val="Normal"/>
    <w:rsid w:val="0006253D"/>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color w:val="auto"/>
      <w:szCs w:val="24"/>
      <w:lang w:eastAsia="en-AU"/>
    </w:rPr>
  </w:style>
  <w:style w:type="paragraph" w:customStyle="1" w:styleId="xl74">
    <w:name w:val="xl74"/>
    <w:basedOn w:val="Normal"/>
    <w:rsid w:val="0006253D"/>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pPr>
    <w:rPr>
      <w:rFonts w:ascii="Times New Roman" w:eastAsia="Times New Roman" w:hAnsi="Times New Roman" w:cs="Times New Roman"/>
      <w:b/>
      <w:bCs/>
      <w:color w:val="auto"/>
      <w:szCs w:val="24"/>
      <w:lang w:eastAsia="en-AU"/>
    </w:rPr>
  </w:style>
  <w:style w:type="paragraph" w:customStyle="1" w:styleId="xl75">
    <w:name w:val="xl75"/>
    <w:basedOn w:val="Normal"/>
    <w:rsid w:val="0006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Cs w:val="24"/>
      <w:lang w:eastAsia="en-AU"/>
    </w:rPr>
  </w:style>
  <w:style w:type="paragraph" w:customStyle="1" w:styleId="xl76">
    <w:name w:val="xl76"/>
    <w:basedOn w:val="Normal"/>
    <w:rsid w:val="0006253D"/>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pPr>
    <w:rPr>
      <w:rFonts w:ascii="Times New Roman" w:eastAsia="Times New Roman" w:hAnsi="Times New Roman" w:cs="Times New Roman"/>
      <w:color w:val="FFFFFF"/>
      <w:szCs w:val="24"/>
      <w:lang w:eastAsia="en-AU"/>
    </w:rPr>
  </w:style>
  <w:style w:type="paragraph" w:customStyle="1" w:styleId="xl77">
    <w:name w:val="xl77"/>
    <w:basedOn w:val="Normal"/>
    <w:rsid w:val="0006253D"/>
    <w:pPr>
      <w:pBdr>
        <w:top w:val="single" w:sz="4" w:space="0" w:color="auto"/>
        <w:left w:val="single" w:sz="4" w:space="0" w:color="auto"/>
        <w:bottom w:val="single" w:sz="4" w:space="0" w:color="auto"/>
        <w:right w:val="single" w:sz="4" w:space="0" w:color="auto"/>
      </w:pBdr>
      <w:shd w:val="clear" w:color="000000" w:fill="305496"/>
      <w:spacing w:before="100" w:beforeAutospacing="1" w:after="100" w:afterAutospacing="1" w:line="240" w:lineRule="auto"/>
    </w:pPr>
    <w:rPr>
      <w:rFonts w:ascii="Times New Roman" w:eastAsia="Times New Roman" w:hAnsi="Times New Roman" w:cs="Times New Roman"/>
      <w:color w:val="FFFFFF"/>
      <w:szCs w:val="24"/>
      <w:lang w:eastAsia="en-AU"/>
    </w:rPr>
  </w:style>
  <w:style w:type="paragraph" w:customStyle="1" w:styleId="xl78">
    <w:name w:val="xl78"/>
    <w:basedOn w:val="Normal"/>
    <w:rsid w:val="000625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color w:val="auto"/>
      <w:szCs w:val="24"/>
      <w:lang w:eastAsia="en-AU"/>
    </w:rPr>
  </w:style>
  <w:style w:type="paragraph" w:customStyle="1" w:styleId="xl79">
    <w:name w:val="xl79"/>
    <w:basedOn w:val="Normal"/>
    <w:rsid w:val="0006253D"/>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pPr>
    <w:rPr>
      <w:rFonts w:ascii="Times New Roman" w:eastAsia="Times New Roman" w:hAnsi="Times New Roman" w:cs="Times New Roman"/>
      <w:b/>
      <w:bCs/>
      <w:color w:val="auto"/>
      <w:szCs w:val="24"/>
      <w:lang w:eastAsia="en-AU"/>
    </w:rPr>
  </w:style>
  <w:style w:type="paragraph" w:customStyle="1" w:styleId="xl80">
    <w:name w:val="xl80"/>
    <w:basedOn w:val="Normal"/>
    <w:rsid w:val="0006253D"/>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pPr>
    <w:rPr>
      <w:rFonts w:ascii="Times New Roman" w:eastAsia="Times New Roman" w:hAnsi="Times New Roman" w:cs="Times New Roman"/>
      <w:color w:val="FFFFFF"/>
      <w:szCs w:val="24"/>
      <w:lang w:eastAsia="en-AU"/>
    </w:rPr>
  </w:style>
  <w:style w:type="paragraph" w:customStyle="1" w:styleId="xl81">
    <w:name w:val="xl81"/>
    <w:basedOn w:val="Normal"/>
    <w:rsid w:val="0006253D"/>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cs="Times New Roman"/>
      <w:color w:val="auto"/>
      <w:szCs w:val="24"/>
      <w:lang w:eastAsia="en-AU"/>
    </w:rPr>
  </w:style>
  <w:style w:type="paragraph" w:customStyle="1" w:styleId="xl82">
    <w:name w:val="xl82"/>
    <w:basedOn w:val="Normal"/>
    <w:rsid w:val="0006253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cs="Times New Roman"/>
      <w:color w:val="auto"/>
      <w:szCs w:val="24"/>
      <w:lang w:eastAsia="en-AU"/>
    </w:rPr>
  </w:style>
  <w:style w:type="paragraph" w:customStyle="1" w:styleId="xl83">
    <w:name w:val="xl83"/>
    <w:basedOn w:val="Normal"/>
    <w:rsid w:val="0006253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color w:val="auto"/>
      <w:szCs w:val="24"/>
      <w:lang w:eastAsia="en-AU"/>
    </w:rPr>
  </w:style>
  <w:style w:type="paragraph" w:customStyle="1" w:styleId="xl84">
    <w:name w:val="xl84"/>
    <w:basedOn w:val="Normal"/>
    <w:rsid w:val="0006253D"/>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cs="Times New Roman"/>
      <w:color w:val="00B0F0"/>
      <w:szCs w:val="24"/>
      <w:lang w:eastAsia="en-AU"/>
    </w:rPr>
  </w:style>
  <w:style w:type="paragraph" w:customStyle="1" w:styleId="xl85">
    <w:name w:val="xl85"/>
    <w:basedOn w:val="Normal"/>
    <w:rsid w:val="0006253D"/>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pPr>
    <w:rPr>
      <w:rFonts w:ascii="Times New Roman" w:eastAsia="Times New Roman" w:hAnsi="Times New Roman" w:cs="Times New Roman"/>
      <w:color w:val="00B0F0"/>
      <w:szCs w:val="24"/>
      <w:lang w:eastAsia="en-AU"/>
    </w:rPr>
  </w:style>
  <w:style w:type="character" w:customStyle="1" w:styleId="ListParagraphChar">
    <w:name w:val="List Paragraph Char"/>
    <w:aliases w:val="List_Paragraph Char,Multilevel para_II Char,List Paragraph1 Char,List Paragraph11 Char,ADB paragraph numbering Char,Colorful List - Accent 11 Char,References Char,List Paragraph (numbered (a)) Char,Source Char,List Paragraph111 Char"/>
    <w:basedOn w:val="DefaultParagraphFont"/>
    <w:link w:val="ListParagraph"/>
    <w:uiPriority w:val="34"/>
    <w:qFormat/>
    <w:locked/>
    <w:rsid w:val="003373D3"/>
    <w:rPr>
      <w:rFonts w:ascii="Arial" w:hAnsi="Arial" w:cs="Helvetica Neue"/>
      <w:color w:val="5A5A5A" w:themeColor="text1" w:themeTint="A5"/>
    </w:rPr>
  </w:style>
  <w:style w:type="paragraph" w:styleId="Revision">
    <w:name w:val="Revision"/>
    <w:hidden/>
    <w:uiPriority w:val="99"/>
    <w:semiHidden/>
    <w:rsid w:val="00897C11"/>
    <w:pPr>
      <w:spacing w:after="0" w:line="240" w:lineRule="auto"/>
      <w:ind w:left="0"/>
    </w:pPr>
    <w:rPr>
      <w:rFonts w:ascii="Arial" w:hAnsi="Arial" w:cs="Helvetica Neue"/>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91019">
      <w:bodyDiv w:val="1"/>
      <w:marLeft w:val="0"/>
      <w:marRight w:val="0"/>
      <w:marTop w:val="0"/>
      <w:marBottom w:val="0"/>
      <w:divBdr>
        <w:top w:val="none" w:sz="0" w:space="0" w:color="auto"/>
        <w:left w:val="none" w:sz="0" w:space="0" w:color="auto"/>
        <w:bottom w:val="none" w:sz="0" w:space="0" w:color="auto"/>
        <w:right w:val="none" w:sz="0" w:space="0" w:color="auto"/>
      </w:divBdr>
    </w:div>
    <w:div w:id="166673062">
      <w:bodyDiv w:val="1"/>
      <w:marLeft w:val="0"/>
      <w:marRight w:val="0"/>
      <w:marTop w:val="0"/>
      <w:marBottom w:val="0"/>
      <w:divBdr>
        <w:top w:val="none" w:sz="0" w:space="0" w:color="auto"/>
        <w:left w:val="none" w:sz="0" w:space="0" w:color="auto"/>
        <w:bottom w:val="none" w:sz="0" w:space="0" w:color="auto"/>
        <w:right w:val="none" w:sz="0" w:space="0" w:color="auto"/>
      </w:divBdr>
    </w:div>
    <w:div w:id="283849622">
      <w:bodyDiv w:val="1"/>
      <w:marLeft w:val="0"/>
      <w:marRight w:val="0"/>
      <w:marTop w:val="0"/>
      <w:marBottom w:val="0"/>
      <w:divBdr>
        <w:top w:val="none" w:sz="0" w:space="0" w:color="auto"/>
        <w:left w:val="none" w:sz="0" w:space="0" w:color="auto"/>
        <w:bottom w:val="none" w:sz="0" w:space="0" w:color="auto"/>
        <w:right w:val="none" w:sz="0" w:space="0" w:color="auto"/>
      </w:divBdr>
    </w:div>
    <w:div w:id="666321326">
      <w:bodyDiv w:val="1"/>
      <w:marLeft w:val="0"/>
      <w:marRight w:val="0"/>
      <w:marTop w:val="0"/>
      <w:marBottom w:val="0"/>
      <w:divBdr>
        <w:top w:val="none" w:sz="0" w:space="0" w:color="auto"/>
        <w:left w:val="none" w:sz="0" w:space="0" w:color="auto"/>
        <w:bottom w:val="none" w:sz="0" w:space="0" w:color="auto"/>
        <w:right w:val="none" w:sz="0" w:space="0" w:color="auto"/>
      </w:divBdr>
    </w:div>
    <w:div w:id="703408728">
      <w:bodyDiv w:val="1"/>
      <w:marLeft w:val="0"/>
      <w:marRight w:val="0"/>
      <w:marTop w:val="0"/>
      <w:marBottom w:val="0"/>
      <w:divBdr>
        <w:top w:val="none" w:sz="0" w:space="0" w:color="auto"/>
        <w:left w:val="none" w:sz="0" w:space="0" w:color="auto"/>
        <w:bottom w:val="none" w:sz="0" w:space="0" w:color="auto"/>
        <w:right w:val="none" w:sz="0" w:space="0" w:color="auto"/>
      </w:divBdr>
    </w:div>
    <w:div w:id="981621470">
      <w:bodyDiv w:val="1"/>
      <w:marLeft w:val="0"/>
      <w:marRight w:val="0"/>
      <w:marTop w:val="0"/>
      <w:marBottom w:val="0"/>
      <w:divBdr>
        <w:top w:val="none" w:sz="0" w:space="0" w:color="auto"/>
        <w:left w:val="none" w:sz="0" w:space="0" w:color="auto"/>
        <w:bottom w:val="none" w:sz="0" w:space="0" w:color="auto"/>
        <w:right w:val="none" w:sz="0" w:space="0" w:color="auto"/>
      </w:divBdr>
    </w:div>
    <w:div w:id="1039860180">
      <w:bodyDiv w:val="1"/>
      <w:marLeft w:val="0"/>
      <w:marRight w:val="0"/>
      <w:marTop w:val="0"/>
      <w:marBottom w:val="0"/>
      <w:divBdr>
        <w:top w:val="none" w:sz="0" w:space="0" w:color="auto"/>
        <w:left w:val="none" w:sz="0" w:space="0" w:color="auto"/>
        <w:bottom w:val="none" w:sz="0" w:space="0" w:color="auto"/>
        <w:right w:val="none" w:sz="0" w:space="0" w:color="auto"/>
      </w:divBdr>
    </w:div>
    <w:div w:id="1043558672">
      <w:bodyDiv w:val="1"/>
      <w:marLeft w:val="0"/>
      <w:marRight w:val="0"/>
      <w:marTop w:val="0"/>
      <w:marBottom w:val="0"/>
      <w:divBdr>
        <w:top w:val="none" w:sz="0" w:space="0" w:color="auto"/>
        <w:left w:val="none" w:sz="0" w:space="0" w:color="auto"/>
        <w:bottom w:val="none" w:sz="0" w:space="0" w:color="auto"/>
        <w:right w:val="none" w:sz="0" w:space="0" w:color="auto"/>
      </w:divBdr>
    </w:div>
    <w:div w:id="1067416890">
      <w:bodyDiv w:val="1"/>
      <w:marLeft w:val="0"/>
      <w:marRight w:val="0"/>
      <w:marTop w:val="0"/>
      <w:marBottom w:val="0"/>
      <w:divBdr>
        <w:top w:val="none" w:sz="0" w:space="0" w:color="auto"/>
        <w:left w:val="none" w:sz="0" w:space="0" w:color="auto"/>
        <w:bottom w:val="none" w:sz="0" w:space="0" w:color="auto"/>
        <w:right w:val="none" w:sz="0" w:space="0" w:color="auto"/>
      </w:divBdr>
    </w:div>
    <w:div w:id="1104770130">
      <w:bodyDiv w:val="1"/>
      <w:marLeft w:val="0"/>
      <w:marRight w:val="0"/>
      <w:marTop w:val="0"/>
      <w:marBottom w:val="0"/>
      <w:divBdr>
        <w:top w:val="none" w:sz="0" w:space="0" w:color="auto"/>
        <w:left w:val="none" w:sz="0" w:space="0" w:color="auto"/>
        <w:bottom w:val="none" w:sz="0" w:space="0" w:color="auto"/>
        <w:right w:val="none" w:sz="0" w:space="0" w:color="auto"/>
      </w:divBdr>
    </w:div>
    <w:div w:id="1121916709">
      <w:bodyDiv w:val="1"/>
      <w:marLeft w:val="0"/>
      <w:marRight w:val="0"/>
      <w:marTop w:val="0"/>
      <w:marBottom w:val="0"/>
      <w:divBdr>
        <w:top w:val="none" w:sz="0" w:space="0" w:color="auto"/>
        <w:left w:val="none" w:sz="0" w:space="0" w:color="auto"/>
        <w:bottom w:val="none" w:sz="0" w:space="0" w:color="auto"/>
        <w:right w:val="none" w:sz="0" w:space="0" w:color="auto"/>
      </w:divBdr>
    </w:div>
    <w:div w:id="1156264108">
      <w:bodyDiv w:val="1"/>
      <w:marLeft w:val="0"/>
      <w:marRight w:val="0"/>
      <w:marTop w:val="0"/>
      <w:marBottom w:val="0"/>
      <w:divBdr>
        <w:top w:val="none" w:sz="0" w:space="0" w:color="auto"/>
        <w:left w:val="none" w:sz="0" w:space="0" w:color="auto"/>
        <w:bottom w:val="none" w:sz="0" w:space="0" w:color="auto"/>
        <w:right w:val="none" w:sz="0" w:space="0" w:color="auto"/>
      </w:divBdr>
    </w:div>
    <w:div w:id="1297374286">
      <w:bodyDiv w:val="1"/>
      <w:marLeft w:val="0"/>
      <w:marRight w:val="0"/>
      <w:marTop w:val="0"/>
      <w:marBottom w:val="0"/>
      <w:divBdr>
        <w:top w:val="none" w:sz="0" w:space="0" w:color="auto"/>
        <w:left w:val="none" w:sz="0" w:space="0" w:color="auto"/>
        <w:bottom w:val="none" w:sz="0" w:space="0" w:color="auto"/>
        <w:right w:val="none" w:sz="0" w:space="0" w:color="auto"/>
      </w:divBdr>
    </w:div>
    <w:div w:id="1301107766">
      <w:bodyDiv w:val="1"/>
      <w:marLeft w:val="0"/>
      <w:marRight w:val="0"/>
      <w:marTop w:val="0"/>
      <w:marBottom w:val="0"/>
      <w:divBdr>
        <w:top w:val="none" w:sz="0" w:space="0" w:color="auto"/>
        <w:left w:val="none" w:sz="0" w:space="0" w:color="auto"/>
        <w:bottom w:val="none" w:sz="0" w:space="0" w:color="auto"/>
        <w:right w:val="none" w:sz="0" w:space="0" w:color="auto"/>
      </w:divBdr>
    </w:div>
    <w:div w:id="1307776982">
      <w:bodyDiv w:val="1"/>
      <w:marLeft w:val="0"/>
      <w:marRight w:val="0"/>
      <w:marTop w:val="0"/>
      <w:marBottom w:val="0"/>
      <w:divBdr>
        <w:top w:val="none" w:sz="0" w:space="0" w:color="auto"/>
        <w:left w:val="none" w:sz="0" w:space="0" w:color="auto"/>
        <w:bottom w:val="none" w:sz="0" w:space="0" w:color="auto"/>
        <w:right w:val="none" w:sz="0" w:space="0" w:color="auto"/>
      </w:divBdr>
    </w:div>
    <w:div w:id="1384522808">
      <w:bodyDiv w:val="1"/>
      <w:marLeft w:val="0"/>
      <w:marRight w:val="0"/>
      <w:marTop w:val="0"/>
      <w:marBottom w:val="0"/>
      <w:divBdr>
        <w:top w:val="none" w:sz="0" w:space="0" w:color="auto"/>
        <w:left w:val="none" w:sz="0" w:space="0" w:color="auto"/>
        <w:bottom w:val="none" w:sz="0" w:space="0" w:color="auto"/>
        <w:right w:val="none" w:sz="0" w:space="0" w:color="auto"/>
      </w:divBdr>
    </w:div>
    <w:div w:id="1507590994">
      <w:bodyDiv w:val="1"/>
      <w:marLeft w:val="0"/>
      <w:marRight w:val="0"/>
      <w:marTop w:val="0"/>
      <w:marBottom w:val="0"/>
      <w:divBdr>
        <w:top w:val="none" w:sz="0" w:space="0" w:color="auto"/>
        <w:left w:val="none" w:sz="0" w:space="0" w:color="auto"/>
        <w:bottom w:val="none" w:sz="0" w:space="0" w:color="auto"/>
        <w:right w:val="none" w:sz="0" w:space="0" w:color="auto"/>
      </w:divBdr>
    </w:div>
    <w:div w:id="210403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QWMN">
  <a:themeElements>
    <a:clrScheme name="QWMN">
      <a:dk1>
        <a:sysClr val="windowText" lastClr="000000"/>
      </a:dk1>
      <a:lt1>
        <a:sysClr val="window" lastClr="FFFFFF"/>
      </a:lt1>
      <a:dk2>
        <a:srgbClr val="216781"/>
      </a:dk2>
      <a:lt2>
        <a:srgbClr val="A7A7A7"/>
      </a:lt2>
      <a:accent1>
        <a:srgbClr val="71C7DE"/>
      </a:accent1>
      <a:accent2>
        <a:srgbClr val="ACE72C"/>
      </a:accent2>
      <a:accent3>
        <a:srgbClr val="58595B"/>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8AA0C6316574C89AC134BE8DE3D2B" ma:contentTypeVersion="4" ma:contentTypeDescription="Create a new document." ma:contentTypeScope="" ma:versionID="a5408d6a08828eff77fafab2afcfaf73">
  <xsd:schema xmlns:xsd="http://www.w3.org/2001/XMLSchema" xmlns:xs="http://www.w3.org/2001/XMLSchema" xmlns:p="http://schemas.microsoft.com/office/2006/metadata/properties" xmlns:ns2="cebd4fc5-deb9-4d29-af32-e14b0219abf3" targetNamespace="http://schemas.microsoft.com/office/2006/metadata/properties" ma:root="true" ma:fieldsID="a8a8a004feb8e35190ba1d9b3b8fbd8f" ns2:_="">
    <xsd:import namespace="cebd4fc5-deb9-4d29-af32-e14b0219a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d4fc5-deb9-4d29-af32-e14b0219a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D9F23-2FE8-48FD-B853-6D5732CB7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d4fc5-deb9-4d29-af32-e14b0219a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A2E5C-03AF-4912-9486-0E1C8E78EC65}">
  <ds:schemaRefs>
    <ds:schemaRef ds:uri="http://schemas.microsoft.com/office/2006/documentManagement/types"/>
    <ds:schemaRef ds:uri="cebd4fc5-deb9-4d29-af32-e14b0219abf3"/>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9E7B230-C4C6-4AF9-915A-0375EB5141D8}">
  <ds:schemaRefs>
    <ds:schemaRef ds:uri="http://schemas.microsoft.com/sharepoint/v3/contenttype/forms"/>
  </ds:schemaRefs>
</ds:datastoreItem>
</file>

<file path=customXml/itemProps4.xml><?xml version="1.0" encoding="utf-8"?>
<ds:datastoreItem xmlns:ds="http://schemas.openxmlformats.org/officeDocument/2006/customXml" ds:itemID="{819E15FB-FF7C-424D-B315-EF9312D7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5798</Words>
  <Characters>33053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HEADING 1</vt:lpstr>
    </vt:vector>
  </TitlesOfParts>
  <Company/>
  <LinksUpToDate>false</LinksUpToDate>
  <CharactersWithSpaces>38774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IWC POSTGRADUATE EDUCATION | 2019 PROGRAM SYLLABUS</dc:subject>
  <dc:creator>Microsoft Office User</dc:creator>
  <cp:keywords/>
  <dc:description/>
  <cp:lastModifiedBy>Lachlan Guthrie</cp:lastModifiedBy>
  <cp:revision>2</cp:revision>
  <cp:lastPrinted>2020-08-20T06:39:00Z</cp:lastPrinted>
  <dcterms:created xsi:type="dcterms:W3CDTF">2020-08-25T23:27:00Z</dcterms:created>
  <dcterms:modified xsi:type="dcterms:W3CDTF">2020-08-25T23:27:00Z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0x010100EAC8AA0C6316574C89AC134BE8DE3D2B</vt:lpwstr>
  </property>
</Properties>
</file>